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6B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CBA">
        <w:rPr>
          <w:rFonts w:ascii="Times New Roman" w:hAnsi="Times New Roman" w:cs="Times New Roman"/>
          <w:sz w:val="24"/>
          <w:szCs w:val="24"/>
          <w:lang w:val="sq-AL"/>
        </w:rPr>
        <w:t>Në bazë të nenit 239 të Ligjit mbi planifikimin hapësinor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ndërtimin e objekteve (“Fleta 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>zyrtare e MZ”, nr. 64/17</w:t>
      </w:r>
      <w:r>
        <w:rPr>
          <w:rFonts w:ascii="Times New Roman" w:hAnsi="Times New Roman" w:cs="Times New Roman"/>
          <w:sz w:val="24"/>
          <w:szCs w:val="24"/>
          <w:lang w:val="sq-AL"/>
        </w:rPr>
        <w:t>, 44/18 dhe 63/18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) dhe nenit 47 paragrafi 1 pika 1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 Statutit të Komunës në kuadër të Kryeqytetit – Tuz (“Fl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eta zyrtare e 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>MZ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>d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ispozitat komunale”, nr. 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39/17), me pëlqimin paraprak të Qeverisë së Malit të Zi numër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07-625 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të datës </w:t>
      </w:r>
      <w:r>
        <w:rPr>
          <w:rFonts w:ascii="Times New Roman" w:hAnsi="Times New Roman" w:cs="Times New Roman"/>
          <w:sz w:val="24"/>
          <w:szCs w:val="24"/>
          <w:lang w:val="sq-AL"/>
        </w:rPr>
        <w:t>28.02.2019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, Kuvendi i komunës </w:t>
      </w:r>
      <w:r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 Tuz</w:t>
      </w:r>
      <w:r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, në seancën e mbajtur më </w:t>
      </w:r>
      <w:r>
        <w:rPr>
          <w:rFonts w:ascii="Times New Roman" w:hAnsi="Times New Roman" w:cs="Times New Roman"/>
          <w:sz w:val="24"/>
          <w:szCs w:val="24"/>
          <w:lang w:val="sq-AL"/>
        </w:rPr>
        <w:t>25.04.2019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 ka sjell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:rsidR="00104C6B" w:rsidRPr="00E72CBA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E72CBA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72CBA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:rsidR="00104C6B" w:rsidRPr="00E72CBA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Pr="00E72CBA">
        <w:rPr>
          <w:rFonts w:ascii="Times New Roman" w:hAnsi="Times New Roman" w:cs="Times New Roman"/>
          <w:b/>
          <w:sz w:val="24"/>
          <w:szCs w:val="24"/>
          <w:lang w:val="sq-AL"/>
        </w:rPr>
        <w:t>bi kom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pensimin</w:t>
      </w:r>
      <w:r w:rsidRPr="00E72C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pajisje komunale 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truallit ndërtimor</w:t>
      </w:r>
    </w:p>
    <w:p w:rsidR="00104C6B" w:rsidRPr="00E72CBA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04C6B" w:rsidRPr="00E72CBA" w:rsidRDefault="00104C6B" w:rsidP="00104C6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72CBA">
        <w:rPr>
          <w:rFonts w:ascii="Times New Roman" w:hAnsi="Times New Roman" w:cs="Times New Roman"/>
          <w:b/>
          <w:sz w:val="24"/>
          <w:szCs w:val="24"/>
          <w:lang w:val="sq-AL"/>
        </w:rPr>
        <w:t>DISPOZITAT E PËRGJITHSHME</w:t>
      </w:r>
    </w:p>
    <w:p w:rsidR="00104C6B" w:rsidRPr="00E72CBA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E72CBA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72CBA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Me këtë vendim përcaktohen kushtet, lartësia, mënyra, afatet dhe procedura e pagesës së kompensimit për pajisje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komunale të truallit ndërtimor. </w:t>
      </w:r>
    </w:p>
    <w:p w:rsidR="00104C6B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D86FE8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86FE8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Përgatitja dhe pajisja komunale e truallit ndërtimor (në tekstin e mëtejmë: 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>pajisj</w:t>
      </w: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E72C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komunale e truallit ndërtimor), kryhet në përputhje me Program të rregullimit hapësinor. 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pajisje komunale të truallit ndërtimor paguhet kompensimi. 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sz w:val="24"/>
          <w:szCs w:val="24"/>
          <w:lang w:val="sq-AL"/>
        </w:rPr>
        <w:t>lirim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 nga pagesa e </w:t>
      </w:r>
      <w:r>
        <w:rPr>
          <w:rFonts w:ascii="Times New Roman" w:hAnsi="Times New Roman" w:cs="Times New Roman"/>
          <w:sz w:val="24"/>
          <w:szCs w:val="24"/>
          <w:lang w:val="sq-AL"/>
        </w:rPr>
        <w:t>kompensimit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reviduesi</w:t>
      </w:r>
      <w:proofErr w:type="spellEnd"/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 duhet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japë 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>deklar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atë mbi 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përmbushjen e kushteve për </w:t>
      </w:r>
      <w:r>
        <w:rPr>
          <w:rFonts w:ascii="Times New Roman" w:hAnsi="Times New Roman" w:cs="Times New Roman"/>
          <w:sz w:val="24"/>
          <w:szCs w:val="24"/>
          <w:lang w:val="sq-AL"/>
        </w:rPr>
        <w:t>lirim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 nga pagesa e </w:t>
      </w:r>
      <w:r>
        <w:rPr>
          <w:rFonts w:ascii="Times New Roman" w:hAnsi="Times New Roman" w:cs="Times New Roman"/>
          <w:sz w:val="24"/>
          <w:szCs w:val="24"/>
          <w:lang w:val="sq-AL"/>
        </w:rPr>
        <w:t>kompensimit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, e cila është e </w:t>
      </w:r>
      <w:r>
        <w:rPr>
          <w:rFonts w:ascii="Times New Roman" w:hAnsi="Times New Roman" w:cs="Times New Roman"/>
          <w:sz w:val="24"/>
          <w:szCs w:val="24"/>
          <w:lang w:val="sq-AL"/>
        </w:rPr>
        <w:t>bashkëngjitur me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 xml:space="preserve"> dokumentacionin për </w:t>
      </w:r>
      <w:r>
        <w:rPr>
          <w:rFonts w:ascii="Times New Roman" w:hAnsi="Times New Roman" w:cs="Times New Roman"/>
          <w:sz w:val="24"/>
          <w:szCs w:val="24"/>
          <w:lang w:val="sq-AL"/>
        </w:rPr>
        <w:t>paraqitjen e ndërtimit</w:t>
      </w:r>
      <w:r w:rsidRPr="00CE410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Kompensimi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 pajisje komunale të truallit ndërtimor (në tekstin e mëtejmë: kompensimi) 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paguhet në llogarinë e buxhetit të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omunës </w:t>
      </w:r>
      <w:r>
        <w:rPr>
          <w:rFonts w:ascii="Times New Roman" w:hAnsi="Times New Roman" w:cs="Times New Roman"/>
          <w:sz w:val="24"/>
          <w:szCs w:val="24"/>
          <w:lang w:val="sq-AL"/>
        </w:rPr>
        <w:t>në kuadër të Kryeqytetit- T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>uz.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350737" w:rsidRDefault="00104C6B" w:rsidP="00104C6B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50737">
        <w:rPr>
          <w:rFonts w:ascii="Times New Roman" w:hAnsi="Times New Roman" w:cs="Times New Roman"/>
          <w:b/>
          <w:sz w:val="24"/>
          <w:szCs w:val="24"/>
          <w:lang w:val="sq-AL"/>
        </w:rPr>
        <w:t>NDJESHMËRIA GJINORE</w:t>
      </w:r>
    </w:p>
    <w:p w:rsidR="00104C6B" w:rsidRPr="0035073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35073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104C6B" w:rsidRPr="0035073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0737">
        <w:rPr>
          <w:rFonts w:ascii="Times New Roman" w:hAnsi="Times New Roman" w:cs="Times New Roman"/>
          <w:sz w:val="24"/>
          <w:szCs w:val="24"/>
          <w:lang w:val="sq-AL"/>
        </w:rPr>
        <w:t>Shprehjet që përdoren në k</w:t>
      </w:r>
      <w:r>
        <w:rPr>
          <w:rFonts w:ascii="Times New Roman" w:hAnsi="Times New Roman" w:cs="Times New Roman"/>
          <w:sz w:val="24"/>
          <w:szCs w:val="24"/>
          <w:lang w:val="sq-AL"/>
        </w:rPr>
        <w:t>ëtë vendim për personat fizik për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 gjininë mashkullore p</w:t>
      </w:r>
      <w:r>
        <w:rPr>
          <w:rFonts w:ascii="Times New Roman" w:hAnsi="Times New Roman" w:cs="Times New Roman"/>
          <w:sz w:val="24"/>
          <w:szCs w:val="24"/>
          <w:lang w:val="sq-AL"/>
        </w:rPr>
        <w:t>ërfshijnë të njëjtat shprehje edhe për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 gjininë femërore.</w:t>
      </w:r>
    </w:p>
    <w:p w:rsidR="00104C6B" w:rsidRPr="0035073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383141" w:rsidRDefault="00104C6B" w:rsidP="00104C6B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3141">
        <w:rPr>
          <w:rFonts w:ascii="Times New Roman" w:hAnsi="Times New Roman" w:cs="Times New Roman"/>
          <w:b/>
          <w:sz w:val="24"/>
          <w:szCs w:val="24"/>
          <w:lang w:val="sq-AL"/>
        </w:rPr>
        <w:t>KUSHTET DHE LARTËSIA</w:t>
      </w:r>
    </w:p>
    <w:p w:rsidR="00104C6B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DD1341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D1341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Kompensimin e paguan investitori. </w:t>
      </w:r>
    </w:p>
    <w:p w:rsidR="00104C6B" w:rsidRPr="0035073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Kompensimi llogaritet në bazë të projektit kryesorë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>për m</w:t>
      </w:r>
      <w:r w:rsidRPr="00350737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2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 të sipërfaqes neto të objektit dhe për m</w:t>
      </w:r>
      <w:r w:rsidRPr="00350737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2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 të hapësirave të hapura në parcelën e dedikuar për kryerjen e veprimtarisë.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0737">
        <w:rPr>
          <w:rFonts w:ascii="Times New Roman" w:hAnsi="Times New Roman" w:cs="Times New Roman"/>
          <w:sz w:val="24"/>
          <w:szCs w:val="24"/>
          <w:lang w:val="sq-AL"/>
        </w:rPr>
        <w:t>Llogaritja e sipërfaqes së objektit bëhet sipas Rregullores për mënyrën e llogaritjes së sipër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faqes dhe vëllimit të objekteve (“Fleta zyrtare e MZ”nr. 47/13) dhe standardit </w:t>
      </w:r>
      <w:r w:rsidRPr="00AB6DB5">
        <w:rPr>
          <w:rFonts w:ascii="Times New Roman" w:hAnsi="Times New Roman" w:cs="Times New Roman"/>
          <w:sz w:val="24"/>
          <w:szCs w:val="24"/>
        </w:rPr>
        <w:t>MEST EN15221- 6.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0737">
        <w:rPr>
          <w:rFonts w:ascii="Times New Roman" w:hAnsi="Times New Roman" w:cs="Times New Roman"/>
          <w:sz w:val="24"/>
          <w:szCs w:val="24"/>
          <w:lang w:val="sq-AL"/>
        </w:rPr>
        <w:t>Organ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kompetent 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punë të 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>planifikimi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 xml:space="preserve"> dhe rregullimi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hapësinor 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>dhe mbrojtje të mjedisit jetësor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(në tekstin e mëtejmë: organi kompetent i qeverisjes lokale),  i dorëzon </w:t>
      </w:r>
      <w:r w:rsidRPr="00350737">
        <w:rPr>
          <w:rFonts w:ascii="Times New Roman" w:hAnsi="Times New Roman" w:cs="Times New Roman"/>
          <w:sz w:val="24"/>
          <w:szCs w:val="24"/>
          <w:lang w:val="sq-AL"/>
        </w:rPr>
        <w:t>Sekretariatit për financa, të ardhurat lokale dhe 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nvestime, projektin kryesorë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llogaritje të kompensimit, menjëherë pas dorëzimit të kërkesës për përcaktimin e kompensimit nga ana e investitorit. </w:t>
      </w:r>
    </w:p>
    <w:p w:rsidR="00104C6B" w:rsidRDefault="00104C6B" w:rsidP="00104C6B">
      <w:pPr>
        <w:pStyle w:val="NoSpacing"/>
        <w:tabs>
          <w:tab w:val="left" w:pos="4343"/>
          <w:tab w:val="center" w:pos="4873"/>
        </w:tabs>
        <w:ind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04C6B" w:rsidRDefault="00104C6B" w:rsidP="00104C6B">
      <w:pPr>
        <w:pStyle w:val="NoSpacing"/>
        <w:tabs>
          <w:tab w:val="left" w:pos="4343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D1341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104C6B" w:rsidRPr="001B6549" w:rsidRDefault="00104C6B" w:rsidP="00104C6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Kompensimi përcaktohet varësisht nga</w:t>
      </w:r>
      <w:r w:rsidRPr="001B654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04C6B" w:rsidRPr="006B49D7" w:rsidRDefault="00104C6B" w:rsidP="00104C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6B49D7">
        <w:rPr>
          <w:rFonts w:ascii="Times New Roman" w:hAnsi="Times New Roman" w:cs="Times New Roman"/>
          <w:sz w:val="24"/>
          <w:szCs w:val="24"/>
          <w:lang w:val="sq-AL"/>
        </w:rPr>
        <w:t>shkalla e pajisje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 së </w:t>
      </w:r>
      <w:r w:rsidRPr="006B49D7">
        <w:rPr>
          <w:rFonts w:ascii="Times New Roman" w:hAnsi="Times New Roman" w:cs="Times New Roman"/>
          <w:sz w:val="24"/>
          <w:szCs w:val="24"/>
          <w:lang w:val="sq-AL"/>
        </w:rPr>
        <w:t>truallit ndërtimor dhe</w:t>
      </w:r>
    </w:p>
    <w:p w:rsidR="00104C6B" w:rsidRDefault="00104C6B" w:rsidP="00104C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shpenzimeve</w:t>
      </w:r>
      <w:r w:rsidRPr="001B6549">
        <w:rPr>
          <w:rFonts w:ascii="Times New Roman" w:hAnsi="Times New Roman" w:cs="Times New Roman"/>
          <w:sz w:val="24"/>
          <w:szCs w:val="24"/>
          <w:lang w:val="sq-AL"/>
        </w:rPr>
        <w:t xml:space="preserve"> mesatare </w:t>
      </w:r>
      <w:r>
        <w:rPr>
          <w:rFonts w:ascii="Times New Roman" w:hAnsi="Times New Roman" w:cs="Times New Roman"/>
          <w:sz w:val="24"/>
          <w:szCs w:val="24"/>
          <w:lang w:val="sq-AL"/>
        </w:rPr>
        <w:t>të pajisjes</w:t>
      </w:r>
      <w:r w:rsidRPr="001B654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komunale dhe pjesëmarrjes së investitorit në pajisje komunale</w:t>
      </w:r>
      <w:r w:rsidRPr="001B654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04C6B" w:rsidRDefault="00104C6B" w:rsidP="00104C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2B8">
        <w:rPr>
          <w:rFonts w:ascii="Times New Roman" w:hAnsi="Times New Roman" w:cs="Times New Roman"/>
          <w:sz w:val="24"/>
          <w:szCs w:val="24"/>
          <w:lang w:val="sq-AL"/>
        </w:rPr>
        <w:t>Niveli i pajisje</w:t>
      </w:r>
      <w:r>
        <w:rPr>
          <w:rFonts w:ascii="Times New Roman" w:hAnsi="Times New Roman" w:cs="Times New Roman"/>
          <w:sz w:val="24"/>
          <w:szCs w:val="24"/>
          <w:lang w:val="sq-AL"/>
        </w:rPr>
        <w:t>s së truallit ndërtimor</w:t>
      </w:r>
      <w:r w:rsidRPr="00B072B8">
        <w:rPr>
          <w:rFonts w:ascii="Times New Roman" w:hAnsi="Times New Roman" w:cs="Times New Roman"/>
          <w:sz w:val="24"/>
          <w:szCs w:val="24"/>
          <w:lang w:val="sq-AL"/>
        </w:rPr>
        <w:t xml:space="preserve"> shpr</w:t>
      </w:r>
      <w:r>
        <w:rPr>
          <w:rFonts w:ascii="Times New Roman" w:hAnsi="Times New Roman" w:cs="Times New Roman"/>
          <w:sz w:val="24"/>
          <w:szCs w:val="24"/>
          <w:lang w:val="sq-AL"/>
        </w:rPr>
        <w:t>ehet me koeficientin e pajisjes</w:t>
      </w:r>
      <w:r w:rsidRPr="00B072B8">
        <w:rPr>
          <w:rFonts w:ascii="Times New Roman" w:hAnsi="Times New Roman" w:cs="Times New Roman"/>
          <w:sz w:val="24"/>
          <w:szCs w:val="24"/>
          <w:lang w:val="sq-AL"/>
        </w:rPr>
        <w:t xml:space="preserve"> sipas zonave,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bazuar në vlerën përkatëse</w:t>
      </w:r>
      <w:r w:rsidRPr="00B072B8">
        <w:rPr>
          <w:rFonts w:ascii="Times New Roman" w:hAnsi="Times New Roman" w:cs="Times New Roman"/>
          <w:sz w:val="24"/>
          <w:szCs w:val="24"/>
          <w:lang w:val="sq-AL"/>
        </w:rPr>
        <w:t xml:space="preserve"> të objekteve të ndërtuara dhe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pajisjeve të </w:t>
      </w:r>
      <w:r w:rsidRPr="00B072B8">
        <w:rPr>
          <w:rFonts w:ascii="Times New Roman" w:hAnsi="Times New Roman" w:cs="Times New Roman"/>
          <w:sz w:val="24"/>
          <w:szCs w:val="24"/>
          <w:lang w:val="sq-AL"/>
        </w:rPr>
        <w:t xml:space="preserve">infrastrukturës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komunale </w:t>
      </w:r>
      <w:r w:rsidRPr="00B072B8">
        <w:rPr>
          <w:rFonts w:ascii="Times New Roman" w:hAnsi="Times New Roman" w:cs="Times New Roman"/>
          <w:sz w:val="24"/>
          <w:szCs w:val="24"/>
          <w:lang w:val="sq-AL"/>
        </w:rPr>
        <w:t xml:space="preserve">dhe në bazë të kriterit të tregut të vlerës së lokacionit, ku vlera e lokacionit është proporcionale me pozicionin e saj, qasjen, volumin dhe shumëllojshmërinë e ofertave dhe përfitimeve të veçanta për qëllim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caktuar. </w:t>
      </w:r>
    </w:p>
    <w:p w:rsidR="00104C6B" w:rsidRPr="001B6549" w:rsidRDefault="00104C6B" w:rsidP="00104C6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1E3145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3145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104C6B" w:rsidRPr="0038560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560B">
        <w:rPr>
          <w:rFonts w:ascii="Times New Roman" w:hAnsi="Times New Roman" w:cs="Times New Roman"/>
          <w:sz w:val="24"/>
          <w:szCs w:val="24"/>
          <w:lang w:val="sq-AL"/>
        </w:rPr>
        <w:t>Kufijtë e zonave janë përcaktuar në bazë të dokumenteve të planifikimit</w:t>
      </w:r>
      <w:r>
        <w:rPr>
          <w:rFonts w:ascii="Times New Roman" w:hAnsi="Times New Roman" w:cs="Times New Roman"/>
          <w:sz w:val="24"/>
          <w:szCs w:val="24"/>
          <w:lang w:val="sq-AL"/>
        </w:rPr>
        <w:t>, kufijve të vendbanimeve dhe komunave kad</w:t>
      </w:r>
      <w:r w:rsidRPr="0038560B">
        <w:rPr>
          <w:rFonts w:ascii="Times New Roman" w:hAnsi="Times New Roman" w:cs="Times New Roman"/>
          <w:sz w:val="24"/>
          <w:szCs w:val="24"/>
          <w:lang w:val="sq-AL"/>
        </w:rPr>
        <w:t xml:space="preserve">astrale si vijon: </w:t>
      </w:r>
    </w:p>
    <w:p w:rsidR="00104C6B" w:rsidRPr="0038560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i/>
          <w:sz w:val="24"/>
          <w:szCs w:val="24"/>
          <w:lang w:val="sq-AL"/>
        </w:rPr>
        <w:t>ZONA E PARË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Përfshin hapësirën që kap: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KK Tuzi, KK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Dinoshë</w:t>
      </w:r>
      <w:proofErr w:type="spellEnd"/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(pë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rveç vendbanimeve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Pikalë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 Prift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417997">
        <w:rPr>
          <w:rFonts w:ascii="Times New Roman" w:hAnsi="Times New Roman" w:cs="Times New Roman"/>
          <w:sz w:val="24"/>
          <w:szCs w:val="24"/>
          <w:lang w:val="sq-AL"/>
        </w:rPr>
        <w:t>Llofk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Pr="00417997">
        <w:rPr>
          <w:rFonts w:ascii="Times New Roman" w:hAnsi="Times New Roman" w:cs="Times New Roman"/>
          <w:sz w:val="24"/>
          <w:szCs w:val="24"/>
          <w:lang w:val="sq-AL"/>
        </w:rPr>
        <w:t>Selisht</w:t>
      </w:r>
      <w:proofErr w:type="spellEnd"/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Vllanë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Rakiq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brenda kufijve të vendbanimit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KK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Vrane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KK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Vuksanlekaj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i/>
          <w:sz w:val="24"/>
          <w:szCs w:val="24"/>
          <w:lang w:val="sq-AL"/>
        </w:rPr>
        <w:t>ZONA E DYTË</w:t>
      </w:r>
    </w:p>
    <w:p w:rsidR="00104C6B" w:rsidRDefault="00104C6B" w:rsidP="00104C6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Përfshin të gjitha vendbanime të tje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 rurale dhe truallin në territorin e komunës së Tuzit. </w:t>
      </w:r>
    </w:p>
    <w:p w:rsidR="00104C6B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Pajisjen komunale të truallit ndërtimor mund ta bëj investitori lokacioni i të cilit pajiset në mënyrë komunale, sipas kushteve të mëposhtme: </w:t>
      </w:r>
    </w:p>
    <w:p w:rsidR="00104C6B" w:rsidRPr="00417997" w:rsidRDefault="00104C6B" w:rsidP="00104C6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që pajisja të kryhet në përputhje me Ligji mbi planifikimin hapësinor dhe ndërtimin e objekteve, në bazë të projektit kryesorë të </w:t>
      </w:r>
      <w:proofErr w:type="spellStart"/>
      <w:r w:rsidRPr="00417997"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>
        <w:rPr>
          <w:rFonts w:ascii="Times New Roman" w:hAnsi="Times New Roman" w:cs="Times New Roman"/>
          <w:sz w:val="24"/>
          <w:szCs w:val="24"/>
          <w:lang w:val="sq-AL"/>
        </w:rPr>
        <w:t>siguruar nga ana e investitorit ose S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ekretariatit kompetent, </w:t>
      </w:r>
    </w:p>
    <w:p w:rsidR="00104C6B" w:rsidRPr="00417997" w:rsidRDefault="00104C6B" w:rsidP="00104C6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që organi kompetent ka shpronësuar pasurinë e patundshme të nevojshme për kryerjen e punimeve në pajisjen komunale, ose ka lidhur marrëveshjen ose gjegjësisht ka marrë miratimin e pronarit të patundshmërisë;</w:t>
      </w:r>
    </w:p>
    <w:p w:rsidR="00104C6B" w:rsidRPr="00417997" w:rsidRDefault="00104C6B" w:rsidP="00104C6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që Sekretariati për investime</w:t>
      </w:r>
      <w:r>
        <w:rPr>
          <w:rFonts w:ascii="Times New Roman" w:hAnsi="Times New Roman" w:cs="Times New Roman"/>
          <w:sz w:val="24"/>
          <w:szCs w:val="24"/>
          <w:lang w:val="sq-AL"/>
        </w:rPr>
        <w:t>, të ardhura lokale dhe investime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miratojë çmimet e hartimit dhe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revidimit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të dokumentacionit teknik dhe të jap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pëlqim në analizë dhe </w:t>
      </w:r>
      <w:r>
        <w:rPr>
          <w:rFonts w:ascii="Times New Roman" w:hAnsi="Times New Roman" w:cs="Times New Roman"/>
          <w:sz w:val="24"/>
          <w:szCs w:val="24"/>
          <w:lang w:val="sq-AL"/>
        </w:rPr>
        <w:t>para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llogaritje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punëve të pajisjes komunale, me atë që çmimet e njësisë nuk mund të tejkalojnë çmimin mesatar nga tri (3) tenderët e fundit të kryer nga komuna dhe sipas së cilave kanë lidhur kontratë për llojin dhe sasinë e njëjtë ose të ngjashme të punëve gjegjësisht shërbimeve;</w:t>
      </w:r>
    </w:p>
    <w:p w:rsidR="00104C6B" w:rsidRPr="00417997" w:rsidRDefault="00104C6B" w:rsidP="00104C6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që mbikëqyrja profesionale mbi ndërtimin e objekteve dhe pajisjeve të infrastrukturës komunale kr</w:t>
      </w:r>
      <w:r>
        <w:rPr>
          <w:rFonts w:ascii="Times New Roman" w:hAnsi="Times New Roman" w:cs="Times New Roman"/>
          <w:sz w:val="24"/>
          <w:szCs w:val="24"/>
          <w:lang w:val="sq-AL"/>
        </w:rPr>
        <w:t>yhet nga Sekretariati kompetent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Të drejtat dhe detyrimet reciproke ndërmjet organit kompetent të komunës dhe investitorit nga paragrafi 1 i këtij neni rregullohen me kontratë.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Llogaritja përfundimtare ndërmjet komunës dhe investitorit do të kry</w:t>
      </w:r>
      <w:r>
        <w:rPr>
          <w:rFonts w:ascii="Times New Roman" w:hAnsi="Times New Roman" w:cs="Times New Roman"/>
          <w:sz w:val="24"/>
          <w:szCs w:val="24"/>
          <w:lang w:val="sq-AL"/>
        </w:rPr>
        <w:t>het sipas gjendjes përfundimtare dhe të verifikuar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, pas pranim-dorëzimit të objekteve dhe pajisjeve të infrastrukturës komunale që janë lënda e kontratës.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Pagesa e punëve të kryera që i nënshtrohen kontratës nga paragrafi 2 i këtij neni bëhet deri në shumën e kompensimit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shërbimeve të kontraktuara për pajisje komunale. 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 rast se investitori ka shlyer detyrimet </w:t>
      </w:r>
      <w:r>
        <w:rPr>
          <w:rFonts w:ascii="Times New Roman" w:hAnsi="Times New Roman" w:cs="Times New Roman"/>
          <w:sz w:val="24"/>
          <w:szCs w:val="24"/>
          <w:lang w:val="sq-AL"/>
        </w:rPr>
        <w:t>në bazë të kompensimit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, vlera e punimeve të kryera nga paragrafi i mëparshëm do të njihet si një paradhënie për ndërtimin e ardhshëm gjegjësisht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paguhet investitorit.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8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Shuma e kompensimit për m</w:t>
      </w:r>
      <w:r w:rsidRPr="00417997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2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sipërfaqes neto të objektit kushton:</w:t>
      </w:r>
      <w:r w:rsidRPr="00417997">
        <w:rPr>
          <w:sz w:val="24"/>
          <w:szCs w:val="24"/>
          <w:lang w:val="sq-AL"/>
        </w:rPr>
        <w:t xml:space="preserve"> 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76"/>
        <w:gridCol w:w="1535"/>
        <w:gridCol w:w="1611"/>
      </w:tblGrid>
      <w:tr w:rsidR="00104C6B" w:rsidRPr="00C234D6" w:rsidTr="004B36BE">
        <w:trPr>
          <w:jc w:val="center"/>
        </w:trPr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04C6B" w:rsidRPr="00C234D6" w:rsidRDefault="00104C6B" w:rsidP="004B36BE">
            <w:pPr>
              <w:pStyle w:val="TABELAT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234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Zona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04C6B" w:rsidRPr="00C234D6" w:rsidRDefault="00104C6B" w:rsidP="004B36BE">
            <w:pPr>
              <w:pStyle w:val="TABELAT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234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I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104C6B" w:rsidRPr="00C234D6" w:rsidRDefault="00104C6B" w:rsidP="004B36BE">
            <w:pPr>
              <w:pStyle w:val="TABELAT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234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II</w:t>
            </w:r>
          </w:p>
        </w:tc>
      </w:tr>
      <w:tr w:rsidR="00104C6B" w:rsidRPr="00C234D6" w:rsidTr="004B36BE">
        <w:trPr>
          <w:jc w:val="center"/>
        </w:trPr>
        <w:tc>
          <w:tcPr>
            <w:tcW w:w="17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04C6B" w:rsidRPr="00C234D6" w:rsidRDefault="00104C6B" w:rsidP="004B36BE">
            <w:pPr>
              <w:pStyle w:val="TABELAT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234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Shuma (€/m2)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04C6B" w:rsidRPr="00C234D6" w:rsidRDefault="005F4F9F" w:rsidP="004B36BE">
            <w:pPr>
              <w:pStyle w:val="TABELAT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48.81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4C6B" w:rsidRPr="00C234D6" w:rsidRDefault="00104C6B" w:rsidP="004B36BE">
            <w:pPr>
              <w:pStyle w:val="TABELAT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234D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00,00</w:t>
            </w:r>
          </w:p>
        </w:tc>
      </w:tr>
    </w:tbl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ab/>
        <w:t xml:space="preserve">Shuma e kompensimit nga </w:t>
      </w:r>
      <w:r>
        <w:rPr>
          <w:rFonts w:ascii="Times New Roman" w:hAnsi="Times New Roman" w:cs="Times New Roman"/>
          <w:sz w:val="24"/>
          <w:szCs w:val="24"/>
          <w:lang w:val="sq-AL"/>
        </w:rPr>
        <w:t>paragrafi 1 i këtij neni zvogëlohet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për 30% për objekte të banimit të sipërfaqes neto të përgjithshme deri në 500m</w:t>
      </w:r>
      <w:r w:rsidRPr="00417997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 xml:space="preserve">2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MËNYRA, AFATET DHE PROCEDURA E PAGESËS SË KOMPENSIMIT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Shuma, afatet e pagesës, mënyra dhe mjetet për sigurimin e pagesës së kompensimit i  përcakton o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rgani kompetent i </w:t>
      </w:r>
      <w:r>
        <w:rPr>
          <w:rFonts w:ascii="Times New Roman" w:hAnsi="Times New Roman" w:cs="Times New Roman"/>
          <w:sz w:val="24"/>
          <w:szCs w:val="24"/>
          <w:lang w:val="sq-AL"/>
        </w:rPr>
        <w:t>administratës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lokale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ë bazë të kompensimit të llogaritur të dorëzuar nga ana e Sekretariatit për financa, të </w:t>
      </w:r>
      <w:r>
        <w:rPr>
          <w:rFonts w:ascii="Times New Roman" w:hAnsi="Times New Roman" w:cs="Times New Roman"/>
          <w:sz w:val="24"/>
          <w:szCs w:val="24"/>
          <w:lang w:val="sq-AL"/>
        </w:rPr>
        <w:t>ardhura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lokale dhe investime.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Sekretariati është i ob</w:t>
      </w:r>
      <w:r>
        <w:rPr>
          <w:rFonts w:ascii="Times New Roman" w:hAnsi="Times New Roman" w:cs="Times New Roman"/>
          <w:sz w:val="24"/>
          <w:szCs w:val="24"/>
          <w:lang w:val="sq-AL"/>
        </w:rPr>
        <w:t>liguar që në afat prej 10 ditësh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nga dita e dorëzimit të projektit kryesorë të </w:t>
      </w:r>
      <w:proofErr w:type="spellStart"/>
      <w:r w:rsidRPr="00417997"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dorëzojë të dhënat e domosdoshme për sjelljen e vendimit mbi kompensim.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akt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vendim nga </w:t>
      </w:r>
      <w:r>
        <w:rPr>
          <w:rFonts w:ascii="Times New Roman" w:hAnsi="Times New Roman" w:cs="Times New Roman"/>
          <w:sz w:val="24"/>
          <w:szCs w:val="24"/>
          <w:lang w:val="sq-AL"/>
        </w:rPr>
        <w:t>paragrafi 1 i këtij neni mund të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dorëzohet ankesa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pranë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organit të administratës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shtetërore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kompetent për punët e planifikimit të hapësirës dhe ndërtimit të objekteve. </w:t>
      </w: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sz w:val="24"/>
          <w:szCs w:val="24"/>
          <w:lang w:val="sq-AL"/>
        </w:rPr>
        <w:tab/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Sekre</w:t>
      </w:r>
      <w:r>
        <w:rPr>
          <w:rFonts w:ascii="Times New Roman" w:hAnsi="Times New Roman" w:cs="Times New Roman"/>
          <w:sz w:val="24"/>
          <w:szCs w:val="24"/>
          <w:lang w:val="sq-AL"/>
        </w:rPr>
        <w:t>tariati për financa, të ardhura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lokale dhe investime kujdeset për ekzekutimin e vendimit </w:t>
      </w:r>
      <w:r>
        <w:rPr>
          <w:rFonts w:ascii="Times New Roman" w:hAnsi="Times New Roman" w:cs="Times New Roman"/>
          <w:sz w:val="24"/>
          <w:szCs w:val="24"/>
          <w:lang w:val="sq-AL"/>
        </w:rPr>
        <w:t>nga neni 9 i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këtij Vendimi dhe i lëshon investitorit një vërtetim si dëshmi mbi rregullimin e marrëdhënieve në lidhje me pagesën e kompensimit.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Kompensimi paguhet në shumën totale njëherë</w:t>
      </w:r>
      <w:r>
        <w:rPr>
          <w:rFonts w:ascii="Times New Roman" w:hAnsi="Times New Roman" w:cs="Times New Roman"/>
          <w:sz w:val="24"/>
          <w:szCs w:val="24"/>
          <w:lang w:val="sq-AL"/>
        </w:rPr>
        <w:t>sh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ose në këste mujore.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Pagesa e njëhershme nënkupton pagesën e kompensimit në shumën totale në afat prej 15 (pesëmbëdhjetë) </w:t>
      </w:r>
      <w:r>
        <w:rPr>
          <w:rFonts w:ascii="Times New Roman" w:hAnsi="Times New Roman" w:cs="Times New Roman"/>
          <w:sz w:val="24"/>
          <w:szCs w:val="24"/>
          <w:lang w:val="sq-AL"/>
        </w:rPr>
        <w:t>ditëve nga dita e hyrjes në fuqi 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sq-AL"/>
        </w:rPr>
        <w:t>akt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vendimit në rast kur investitori ka të drejtë në zbritje prej 15% në vlerën e llogaritur të kompensimit.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Investitori mund të paguaj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kompensimin në këste të njëjta mujore dhe ato: </w:t>
      </w:r>
    </w:p>
    <w:p w:rsidR="00104C6B" w:rsidRPr="00417997" w:rsidRDefault="00104C6B" w:rsidP="00104C6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për ndërtesa familjare deri në 200m</w:t>
      </w:r>
      <w:r w:rsidRPr="00417997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2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sipërfaqes totale neto për një periudhë prej 20 vjetësh, </w:t>
      </w:r>
    </w:p>
    <w:p w:rsidR="00104C6B" w:rsidRPr="00417997" w:rsidRDefault="00104C6B" w:rsidP="00104C6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për objekte deri në 500m</w:t>
      </w:r>
      <w:r w:rsidRPr="00417997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2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sipërfaqes totale neto për një periudhë prej 5 vjetësh, </w:t>
      </w:r>
    </w:p>
    <w:p w:rsidR="00104C6B" w:rsidRPr="00417997" w:rsidRDefault="00104C6B" w:rsidP="00104C6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për objekte të tjera në periudhë deri në 3 vite.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Afati për pagesën e kompensimit në këste të njëjta mujore m</w:t>
      </w:r>
      <w:r>
        <w:rPr>
          <w:rFonts w:ascii="Times New Roman" w:hAnsi="Times New Roman" w:cs="Times New Roman"/>
          <w:sz w:val="24"/>
          <w:szCs w:val="24"/>
          <w:lang w:val="sq-AL"/>
        </w:rPr>
        <w:t>und të jetë edhe më i shkurtër me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kërkesë të investitorit.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hAnsi="Times New Roman" w:cs="Times New Roman"/>
          <w:sz w:val="24"/>
          <w:szCs w:val="24"/>
          <w:lang w:val="sq-AL"/>
        </w:rPr>
        <w:t>se investitori vendos të paguaj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kompensim në pajtim me paragrafin 3 të këtij neni, kësti i parë do të përcaktohet në shumë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prej 20% të shumës së përcaktuar të kompensimit </w:t>
      </w:r>
      <w:r>
        <w:rPr>
          <w:rFonts w:ascii="Times New Roman" w:hAnsi="Times New Roman" w:cs="Times New Roman"/>
          <w:sz w:val="24"/>
          <w:szCs w:val="24"/>
          <w:lang w:val="sq-AL"/>
        </w:rPr>
        <w:t>kurse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shuma e mbetur e kompensimit do të përcaktohet në këste të barabarta mujore. Investi</w:t>
      </w:r>
      <w:r>
        <w:rPr>
          <w:rFonts w:ascii="Times New Roman" w:hAnsi="Times New Roman" w:cs="Times New Roman"/>
          <w:sz w:val="24"/>
          <w:szCs w:val="24"/>
          <w:lang w:val="sq-AL"/>
        </w:rPr>
        <w:t>tori është i detyruar të paguaj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këstin e parë brenda 15 (pesëmbëdhjetë) ditëve nga data e ekzekutimit të </w:t>
      </w:r>
      <w:r>
        <w:rPr>
          <w:rFonts w:ascii="Times New Roman" w:hAnsi="Times New Roman" w:cs="Times New Roman"/>
          <w:sz w:val="24"/>
          <w:szCs w:val="24"/>
          <w:lang w:val="sq-AL"/>
        </w:rPr>
        <w:t>akt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vendimit për rregullimin e marrëdhënies në lidhje me pajisjen komunale. 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 rastin kur investitori </w:t>
      </w:r>
      <w:r>
        <w:rPr>
          <w:rFonts w:ascii="Times New Roman" w:hAnsi="Times New Roman" w:cs="Times New Roman"/>
          <w:sz w:val="24"/>
          <w:szCs w:val="24"/>
          <w:lang w:val="sq-AL"/>
        </w:rPr>
        <w:t>ka vendosur për pagesë me këste mujore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, sipas dispozitave të këtij vendimi, mundësohet që pas shlyerjes së obligimeve të detyrueshme, 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huma e mbetur e pagesës shlyhet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në mënyrë të njëhershme, me ç'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do të ketë të drejtën e zbritjes së shumës së mbetur prej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5%.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12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Tek pagesa e kompensimit në këste, nëse investitori vonon me pagesë, ai do të ngarkohet me shkallën e kamatëvonesës të përcaktuar me ligj.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Tek pagesa e kompensimit në këste, investitori është i detyruar të sigurojë mjetet e sigurimit të pagesës si në vijim:</w:t>
      </w:r>
    </w:p>
    <w:p w:rsidR="00104C6B" w:rsidRPr="00417997" w:rsidRDefault="00104C6B" w:rsidP="00104C6B">
      <w:pPr>
        <w:pStyle w:val="NoSpacing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personat juridik, garancinë e parevokueshme b</w:t>
      </w:r>
      <w:r>
        <w:rPr>
          <w:rFonts w:ascii="Times New Roman" w:hAnsi="Times New Roman" w:cs="Times New Roman"/>
          <w:sz w:val="24"/>
          <w:szCs w:val="24"/>
          <w:lang w:val="sq-AL"/>
        </w:rPr>
        <w:t>ankare "pa ankesa" e ngarkuar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"në thirrjen e parë", shuma e përcaktuar e kompensimit, në përputhje me dispozitat ligjore në fuqi, ose garancinë rrotulluese b</w:t>
      </w:r>
      <w:r>
        <w:rPr>
          <w:rFonts w:ascii="Times New Roman" w:hAnsi="Times New Roman" w:cs="Times New Roman"/>
          <w:sz w:val="24"/>
          <w:szCs w:val="24"/>
          <w:lang w:val="sq-AL"/>
        </w:rPr>
        <w:t>ankare "pa ankesa" e ngarkuar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"në thirrjen e parë", në shumë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prej 12 kësteve mujore të kompensimit të përcaktuar. Për pjesën e borxhit që nuk është e siguruar me garanci bankare rrotulluese, investitori është i detyruar të sigurojë hipotekë të rendit të parë në patundshmëri, vlera e së cilës duhet të jetë 30% më e lartë se vlera e borxhit të mbetur.</w:t>
      </w:r>
    </w:p>
    <w:p w:rsidR="00104C6B" w:rsidRPr="00417997" w:rsidRDefault="00104C6B" w:rsidP="00104C6B">
      <w:pPr>
        <w:pStyle w:val="NoSpacing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ersonat fizik, hipotekën e rendit të parë në patundshmëri, vlera e së cilës duhet të jetë 30% më e lartë se vlera e përcaktuar e kompensimit.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Nëse investitori vonon pagesën për më shumë se tre muaj, shuma e plotë e borxhit do të konsiderohet si e detyrueshme dhe Sekre</w:t>
      </w:r>
      <w:r>
        <w:rPr>
          <w:rFonts w:ascii="Times New Roman" w:hAnsi="Times New Roman" w:cs="Times New Roman"/>
          <w:sz w:val="24"/>
          <w:szCs w:val="24"/>
          <w:lang w:val="sq-AL"/>
        </w:rPr>
        <w:t>tariati për financa, të ardhura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lokale dhe investime do të aktivizojë të gjitha mjetet e parashikuara të sigurimit.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7AC9">
        <w:rPr>
          <w:rFonts w:ascii="Times New Roman" w:hAnsi="Times New Roman" w:cs="Times New Roman"/>
          <w:sz w:val="24"/>
          <w:szCs w:val="24"/>
          <w:lang w:val="sq-AL"/>
        </w:rPr>
        <w:t>Kur siguron një pagesë hipotekare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0D7AC9">
        <w:rPr>
          <w:rFonts w:ascii="Times New Roman" w:hAnsi="Times New Roman" w:cs="Times New Roman"/>
          <w:sz w:val="24"/>
          <w:szCs w:val="24"/>
          <w:lang w:val="sq-AL"/>
        </w:rPr>
        <w:t>investitori ë</w:t>
      </w:r>
      <w:r>
        <w:rPr>
          <w:rFonts w:ascii="Times New Roman" w:hAnsi="Times New Roman" w:cs="Times New Roman"/>
          <w:sz w:val="24"/>
          <w:szCs w:val="24"/>
          <w:lang w:val="sq-AL"/>
        </w:rPr>
        <w:t>shtë i detyruar, së bashku me dë</w:t>
      </w:r>
      <w:r w:rsidRPr="000D7AC9">
        <w:rPr>
          <w:rFonts w:ascii="Times New Roman" w:hAnsi="Times New Roman" w:cs="Times New Roman"/>
          <w:sz w:val="24"/>
          <w:szCs w:val="24"/>
          <w:lang w:val="sq-AL"/>
        </w:rPr>
        <w:t>shminë e regjistrimit të hipotekës në kadastrën e patundshmërive, të paraqesë një vlerësim të vlerës së pasurisë së paluajtshme nga vlerësuesi i autorizuar në të cilin është vendosur hipoteka.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Mjetet e mbrojtjes nga ky nen nuk e përjashtojnë të drejtën e </w:t>
      </w:r>
      <w:r>
        <w:rPr>
          <w:rFonts w:ascii="Times New Roman" w:hAnsi="Times New Roman" w:cs="Times New Roman"/>
          <w:sz w:val="24"/>
          <w:szCs w:val="24"/>
          <w:lang w:val="sq-AL"/>
        </w:rPr>
        <w:t>organit kompetent të komunës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për të iniciuar procedura gjyqësore, ekzekutive dhe të tjera me qellim të pagesës së kërkesave.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Lënda e hipotekës mund të jetë patundshmëri e regjistruar në fletën e patundshmërive pa ndonjë ngarkesë dhe kufizime dhe ato: hapësirën banuese, hapësirën afariste, parcelën urbane, dhe në veçanti nëse komuna ka interes dhe parcelën kadastrale në të cilën është planifikuar ndërtimi i objektit me interes të përgjithshëm që i shërben pajisjes komunale të lokacionit.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Afatet për pajisje komunale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cilat realizon vetëqeverisja lokale, përcaktohen në përputhje me Programin e rregullimit hapësinor.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14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Nëse bëhet rindërtimi i ndërtesës në përmasat ekzistuese, me të cilën nuk fitohet hapësirë e re e ndërtuar, kompensimi nuk paguhet.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Nëse bëhet kthimi i pjesëve të veçanta dhe të zakonshme të një ndërtese banimi në një lokal biznesi kompensimi nuk paguhet.</w:t>
      </w:r>
    </w:p>
    <w:p w:rsidR="00104C6B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 rastet nga paragrafi 1 dhe 2 i këtij neni komuna nuk ka obligim të pajisjes të lokacionit të investitorit. </w:t>
      </w:r>
    </w:p>
    <w:p w:rsidR="00104C6B" w:rsidRPr="00417997" w:rsidRDefault="00104C6B" w:rsidP="00104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15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Kompensimi për objekte të banimit, në rastet kur investitori e rrëzon atë ekzistues me qëllim të ndërtimit të një ndërtese të re banimi në të njëjtën parcelë dhe nuk ka nevojë për </w:t>
      </w:r>
      <w:r>
        <w:rPr>
          <w:rFonts w:ascii="Times New Roman" w:hAnsi="Times New Roman" w:cs="Times New Roman"/>
          <w:sz w:val="24"/>
          <w:szCs w:val="24"/>
          <w:lang w:val="sq-AL"/>
        </w:rPr>
        <w:t>pajisje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shtesë të lokacionit në përputhje me dokumentin planifikues, llogaritet në shumën e diferencës në sipërfaqen neto të ndërtesës banesore që po ndërtohet dhe ndërtesës banesore që </w:t>
      </w:r>
      <w:r>
        <w:rPr>
          <w:rFonts w:ascii="Times New Roman" w:hAnsi="Times New Roman" w:cs="Times New Roman"/>
          <w:sz w:val="24"/>
          <w:szCs w:val="24"/>
          <w:lang w:val="sq-AL"/>
        </w:rPr>
        <w:t>shembet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, 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kusht që objekti për shembje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jetë i regjistruar në kadastrën e </w:t>
      </w:r>
      <w:r>
        <w:rPr>
          <w:rFonts w:ascii="Times New Roman" w:hAnsi="Times New Roman" w:cs="Times New Roman"/>
          <w:sz w:val="24"/>
          <w:szCs w:val="24"/>
          <w:lang w:val="sq-AL"/>
        </w:rPr>
        <w:t>patundshmërive, që në formë kadastrale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të jetë i përpunuar sipas pjesëve të veçanta të objektit dhe në fletën e patundshmërisë nuk është e regjistruar ngarkesa “nuk ka leje”.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Nëse për objekt të banimit i cili po ndërtohet kërkohet pajisje komunale plotësuese e lokacionit në përputhje me dokumentacionin planifikues, investitori paguan kompensim për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lastRenderedPageBreak/>
        <w:t>diferencën ndërmjet sipërfaqes neto të ndërtesës që po ndërtohet dhe 60% të sipërfaqes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neto të objektit që po shembet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, sipas kushteve nga paragrafi i mëparshëm.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qoftë se objekti i cili shembet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, e i cili është i evidentuar në kadastrën e patunds</w:t>
      </w:r>
      <w:r>
        <w:rPr>
          <w:rFonts w:ascii="Times New Roman" w:hAnsi="Times New Roman" w:cs="Times New Roman"/>
          <w:sz w:val="24"/>
          <w:szCs w:val="24"/>
          <w:lang w:val="sq-AL"/>
        </w:rPr>
        <w:t>hmërive, nuk është në formë kadastrale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i përpunuar në fletën e patundshmërisë sipas pjesëve të veçanta të objektit, neto sipërfaqja e objektit </w:t>
      </w:r>
      <w:r>
        <w:rPr>
          <w:rFonts w:ascii="Times New Roman" w:hAnsi="Times New Roman" w:cs="Times New Roman"/>
          <w:sz w:val="24"/>
          <w:szCs w:val="24"/>
          <w:lang w:val="sq-AL"/>
        </w:rPr>
        <w:t>të banimit i cili po shembet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llogaritet në bazë 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elaboratit gjeodezik të punuar nga ana e ndërmarrjes afariste kompetente për punë gjeodezike, të vërtetuar nga ana e organit t administratës kompetent për punë të studimit shtetërorë dhe kadastrës.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Në qoftë se neto sipërfaqja e objektit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banim</w:t>
      </w:r>
      <w:r>
        <w:rPr>
          <w:rFonts w:ascii="Times New Roman" w:hAnsi="Times New Roman" w:cs="Times New Roman"/>
          <w:sz w:val="24"/>
          <w:szCs w:val="24"/>
          <w:lang w:val="sq-AL"/>
        </w:rPr>
        <w:t>it i cili po shembet është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më e madhe nga neto sipërfaqja e objektit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banim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i cili po ndërtohet, investitori nuk ka të drejtë në kthimin e  ndryshimit në vlerën e kompensimit.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Nëse shembet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objekti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banim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për të cilin në fletën kadastrale është e shkruar ngarkesa “nuk ka leje”, kurse investitori dorëzon dëshmi mbi kompensimin e paguar dhe rregulluar  për objektin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banim</w:t>
      </w:r>
      <w:r>
        <w:rPr>
          <w:rFonts w:ascii="Times New Roman" w:hAnsi="Times New Roman" w:cs="Times New Roman"/>
          <w:sz w:val="24"/>
          <w:szCs w:val="24"/>
          <w:lang w:val="sq-AL"/>
        </w:rPr>
        <w:t>it i cili po shembet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, pas kontrollit të dëshmive të dorëzuara nga ana e shërbimit profesional të Sekretariatit për investime, do ti njihet neto sipërfaqja me kushtet e njëjta si në paragrafin 1dhe 2 të këtij neni.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Komuna ka obligim të përgatitjes së pajisjes komunale më së shumti deri në shumën e kompensimit të paguar.</w:t>
      </w:r>
    </w:p>
    <w:p w:rsidR="00104C6B" w:rsidRDefault="00104C6B" w:rsidP="00104C6B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tabs>
          <w:tab w:val="left" w:pos="414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Neni 16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Mbikëqyrjen mbi zbatimin e këtij vendimi e kryen organi kompetent i administratës lokale.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17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Në rast të mosmarrëveshjes për realizimin e pajisjes komunale të truallit ndërtimor, gjykata është kompetente.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>DISPOZITAT KALIMTARE DHE TË FUNDIT</w:t>
      </w:r>
    </w:p>
    <w:p w:rsidR="00104C6B" w:rsidRPr="00417997" w:rsidRDefault="00104C6B" w:rsidP="00104C6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18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sz w:val="24"/>
          <w:szCs w:val="24"/>
          <w:lang w:val="sq-AL"/>
        </w:rPr>
        <w:t>Procedurat e filluara deri në datën e hyrjes në f</w:t>
      </w:r>
      <w:r>
        <w:rPr>
          <w:rFonts w:ascii="Times New Roman" w:hAnsi="Times New Roman" w:cs="Times New Roman"/>
          <w:sz w:val="24"/>
          <w:szCs w:val="24"/>
          <w:lang w:val="sq-AL"/>
        </w:rPr>
        <w:t>uqi të këtij vendimi, në të cili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n kontrata nuk është e lidhur, do të përfundojë sipas dispozitave të Vendimit mbi kompensim për pajisje komunale të truallit ndërtimor (“Fleta zyrtare e Malit të Zi-dispozitat komunale”, nr.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09/18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), nëse kjo është më e favorshme për investitorin.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Procedurë e iniciuar 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>konsiderohet dorëzimi i një kërkese nga investitori tek organi i administratës lokal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417997">
        <w:rPr>
          <w:rFonts w:ascii="Times New Roman" w:hAnsi="Times New Roman" w:cs="Times New Roman"/>
          <w:sz w:val="24"/>
          <w:szCs w:val="24"/>
          <w:lang w:val="sq-AL"/>
        </w:rPr>
        <w:t xml:space="preserve"> kompetent për llogaritjen e kompensimit për pajisje komunale ose dorëzimi i kërkesës për lëshimin e lejes së ndërtimit. </w:t>
      </w:r>
    </w:p>
    <w:p w:rsidR="00104C6B" w:rsidRPr="00417997" w:rsidRDefault="00104C6B" w:rsidP="00104C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4C6B" w:rsidRPr="00417997" w:rsidRDefault="00104C6B" w:rsidP="00104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79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19</w:t>
      </w:r>
    </w:p>
    <w:p w:rsidR="00104C6B" w:rsidRDefault="008D1430" w:rsidP="00104C6B">
      <w:pPr>
        <w:ind w:firstLine="720"/>
        <w:jc w:val="both"/>
        <w:rPr>
          <w:lang w:val="sq-AL"/>
        </w:rPr>
      </w:pPr>
      <w:r w:rsidRPr="003145D6">
        <w:rPr>
          <w:lang w:val="sq-AL"/>
        </w:rPr>
        <w:t>M</w:t>
      </w:r>
      <w:r w:rsidR="00104C6B" w:rsidRPr="003145D6">
        <w:rPr>
          <w:lang w:val="sq-AL"/>
        </w:rPr>
        <w:t>e</w:t>
      </w:r>
      <w:r>
        <w:rPr>
          <w:lang w:val="sq-AL"/>
        </w:rPr>
        <w:t xml:space="preserve"> </w:t>
      </w:r>
      <w:r w:rsidR="00104C6B" w:rsidRPr="003145D6">
        <w:rPr>
          <w:lang w:val="sq-AL"/>
        </w:rPr>
        <w:t xml:space="preserve">ditën e </w:t>
      </w:r>
      <w:r>
        <w:rPr>
          <w:lang w:val="sq-AL"/>
        </w:rPr>
        <w:t>hyrjes në fuqi</w:t>
      </w:r>
      <w:r w:rsidR="00104C6B" w:rsidRPr="003145D6">
        <w:rPr>
          <w:lang w:val="sq-AL"/>
        </w:rPr>
        <w:t xml:space="preserve"> </w:t>
      </w:r>
      <w:r>
        <w:rPr>
          <w:lang w:val="sq-AL"/>
        </w:rPr>
        <w:t xml:space="preserve">të këtij vendimi </w:t>
      </w:r>
      <w:r w:rsidR="00104C6B" w:rsidRPr="003145D6">
        <w:rPr>
          <w:lang w:val="sq-AL"/>
        </w:rPr>
        <w:t xml:space="preserve">pushon së vlejturi Vendimi mbi zbatimin e rregulloreve të Kryeqytetit nga organet e Komunës së Tuzit deri tek miratimi i rregulloreve të veta (“Fleta zyrtare e Malit të Zi-dispozitat komunale”, nr. </w:t>
      </w:r>
      <w:proofErr w:type="gramStart"/>
      <w:r w:rsidR="00104C6B" w:rsidRPr="003145D6">
        <w:t xml:space="preserve">015/19 </w:t>
      </w:r>
      <w:proofErr w:type="spellStart"/>
      <w:r w:rsidR="00104C6B" w:rsidRPr="003145D6">
        <w:t>prej</w:t>
      </w:r>
      <w:proofErr w:type="spellEnd"/>
      <w:r w:rsidR="00104C6B" w:rsidRPr="003145D6">
        <w:t xml:space="preserve"> </w:t>
      </w:r>
      <w:proofErr w:type="spellStart"/>
      <w:r w:rsidR="00104C6B" w:rsidRPr="003145D6">
        <w:t>datës</w:t>
      </w:r>
      <w:proofErr w:type="spellEnd"/>
      <w:r w:rsidR="00104C6B" w:rsidRPr="003145D6">
        <w:t xml:space="preserve"> 12.04.2019</w:t>
      </w:r>
      <w:r w:rsidR="00104C6B" w:rsidRPr="003145D6">
        <w:rPr>
          <w:lang w:val="sq-AL"/>
        </w:rPr>
        <w:t>)</w:t>
      </w:r>
      <w:r w:rsidR="00104C6B">
        <w:rPr>
          <w:lang w:val="sq-AL"/>
        </w:rPr>
        <w:t>.</w:t>
      </w:r>
      <w:proofErr w:type="gramEnd"/>
    </w:p>
    <w:p w:rsidR="008D1430" w:rsidRDefault="008D1430" w:rsidP="008D1430">
      <w:pPr>
        <w:jc w:val="both"/>
        <w:rPr>
          <w:lang w:val="sq-AL"/>
        </w:rPr>
      </w:pPr>
    </w:p>
    <w:p w:rsidR="008D1430" w:rsidRPr="008D1430" w:rsidRDefault="008D1430" w:rsidP="008D1430">
      <w:pPr>
        <w:jc w:val="center"/>
        <w:rPr>
          <w:b/>
          <w:lang w:val="sq-AL"/>
        </w:rPr>
      </w:pPr>
      <w:r w:rsidRPr="008D1430">
        <w:rPr>
          <w:b/>
          <w:lang w:val="sq-AL"/>
        </w:rPr>
        <w:t>Neni 20</w:t>
      </w:r>
    </w:p>
    <w:p w:rsidR="008D1430" w:rsidRDefault="008D1430" w:rsidP="008D1430">
      <w:pPr>
        <w:ind w:firstLine="720"/>
        <w:jc w:val="both"/>
        <w:rPr>
          <w:lang w:val="sq-AL"/>
        </w:rPr>
      </w:pPr>
      <w:r w:rsidRPr="00417997">
        <w:rPr>
          <w:lang w:val="sq-AL"/>
        </w:rPr>
        <w:t>Ky Vendim hynë në fuqi ditën e tetë nga dita e publikimit në “Fletën zyrtare të Mali</w:t>
      </w:r>
      <w:r>
        <w:rPr>
          <w:lang w:val="sq-AL"/>
        </w:rPr>
        <w:t>t të Zi- Dispozitat e komunës”</w:t>
      </w:r>
    </w:p>
    <w:p w:rsidR="00104C6B" w:rsidRDefault="00104C6B" w:rsidP="00104C6B">
      <w:pPr>
        <w:ind w:firstLine="720"/>
        <w:jc w:val="both"/>
        <w:rPr>
          <w:lang w:val="sq-AL"/>
        </w:rPr>
      </w:pPr>
    </w:p>
    <w:p w:rsidR="00104C6B" w:rsidRPr="003145D6" w:rsidRDefault="00104C6B" w:rsidP="00104C6B">
      <w:pPr>
        <w:ind w:firstLine="720"/>
        <w:jc w:val="both"/>
        <w:rPr>
          <w:lang w:val="sq-AL"/>
        </w:rPr>
      </w:pPr>
      <w:r w:rsidRPr="003145D6">
        <w:rPr>
          <w:lang w:val="sq-AL"/>
        </w:rPr>
        <w:t>Nr: 02-030/19-</w:t>
      </w:r>
      <w:r w:rsidR="005F4F9F">
        <w:rPr>
          <w:lang w:val="sq-AL"/>
        </w:rPr>
        <w:t>2315</w:t>
      </w:r>
    </w:p>
    <w:p w:rsidR="00104C6B" w:rsidRPr="003145D6" w:rsidRDefault="00104C6B" w:rsidP="00104C6B">
      <w:pPr>
        <w:ind w:firstLine="720"/>
        <w:jc w:val="both"/>
        <w:rPr>
          <w:lang w:val="sq-AL"/>
        </w:rPr>
      </w:pPr>
      <w:r w:rsidRPr="003145D6">
        <w:rPr>
          <w:lang w:val="sq-AL"/>
        </w:rPr>
        <w:t xml:space="preserve">Tuz, </w:t>
      </w:r>
      <w:r>
        <w:rPr>
          <w:lang w:val="sq-AL"/>
        </w:rPr>
        <w:t>25</w:t>
      </w:r>
      <w:r w:rsidRPr="003145D6">
        <w:rPr>
          <w:lang w:val="sq-AL"/>
        </w:rPr>
        <w:t>.04.2019</w:t>
      </w:r>
    </w:p>
    <w:p w:rsidR="00104C6B" w:rsidRPr="003145D6" w:rsidRDefault="00104C6B" w:rsidP="00104C6B">
      <w:pPr>
        <w:ind w:firstLine="720"/>
        <w:jc w:val="center"/>
        <w:rPr>
          <w:b/>
          <w:lang w:val="sq-AL"/>
        </w:rPr>
      </w:pPr>
      <w:r w:rsidRPr="003145D6">
        <w:rPr>
          <w:b/>
          <w:lang w:val="sq-AL"/>
        </w:rPr>
        <w:t>KUVENDI I KOMUNËS SË TUZIT</w:t>
      </w:r>
    </w:p>
    <w:p w:rsidR="00104C6B" w:rsidRPr="003145D6" w:rsidRDefault="00104C6B" w:rsidP="00104C6B">
      <w:pPr>
        <w:ind w:firstLine="720"/>
        <w:jc w:val="center"/>
        <w:rPr>
          <w:b/>
          <w:lang w:val="sq-AL"/>
        </w:rPr>
      </w:pPr>
      <w:bookmarkStart w:id="0" w:name="_GoBack"/>
      <w:bookmarkEnd w:id="0"/>
      <w:r w:rsidRPr="003145D6">
        <w:rPr>
          <w:b/>
          <w:lang w:val="sq-AL"/>
        </w:rPr>
        <w:t>KRYETARI,</w:t>
      </w:r>
    </w:p>
    <w:p w:rsidR="00BC1ACC" w:rsidRPr="005F4F9F" w:rsidRDefault="00104C6B" w:rsidP="005F4F9F">
      <w:pPr>
        <w:ind w:firstLine="720"/>
        <w:jc w:val="center"/>
        <w:rPr>
          <w:b/>
          <w:lang w:val="sq-AL"/>
        </w:rPr>
      </w:pPr>
      <w:r w:rsidRPr="003145D6">
        <w:rPr>
          <w:b/>
          <w:lang w:val="sq-AL"/>
        </w:rPr>
        <w:t>Fadil Kajoshaj</w:t>
      </w:r>
      <w:r w:rsidR="0005567B">
        <w:rPr>
          <w:lang w:val="sq-AL"/>
        </w:rPr>
        <w:t xml:space="preserve"> </w:t>
      </w:r>
    </w:p>
    <w:sectPr w:rsidR="00BC1ACC" w:rsidRPr="005F4F9F" w:rsidSect="00BE1F44">
      <w:footerReference w:type="default" r:id="rId8"/>
      <w:pgSz w:w="11906" w:h="16838"/>
      <w:pgMar w:top="1170" w:right="1440" w:bottom="126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E7" w:rsidRDefault="00F551E7" w:rsidP="00A1184C">
      <w:r>
        <w:separator/>
      </w:r>
    </w:p>
  </w:endnote>
  <w:endnote w:type="continuationSeparator" w:id="0">
    <w:p w:rsidR="00F551E7" w:rsidRDefault="00F551E7" w:rsidP="00A1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1345"/>
      <w:docPartObj>
        <w:docPartGallery w:val="Page Numbers (Bottom of Page)"/>
        <w:docPartUnique/>
      </w:docPartObj>
    </w:sdtPr>
    <w:sdtContent>
      <w:p w:rsidR="00B0750D" w:rsidRDefault="0091125E">
        <w:pPr>
          <w:pStyle w:val="Footer"/>
          <w:jc w:val="center"/>
        </w:pPr>
        <w:fldSimple w:instr=" PAGE   \* MERGEFORMAT ">
          <w:r w:rsidR="005F4F9F">
            <w:rPr>
              <w:noProof/>
            </w:rPr>
            <w:t>5</w:t>
          </w:r>
        </w:fldSimple>
      </w:p>
    </w:sdtContent>
  </w:sdt>
  <w:p w:rsidR="00B0750D" w:rsidRDefault="00B07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E7" w:rsidRDefault="00F551E7" w:rsidP="00A1184C">
      <w:r>
        <w:separator/>
      </w:r>
    </w:p>
  </w:footnote>
  <w:footnote w:type="continuationSeparator" w:id="0">
    <w:p w:rsidR="00F551E7" w:rsidRDefault="00F551E7" w:rsidP="00A11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B0"/>
    <w:multiLevelType w:val="hybridMultilevel"/>
    <w:tmpl w:val="330EF3C2"/>
    <w:lvl w:ilvl="0" w:tplc="AEA816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41A8B"/>
    <w:multiLevelType w:val="hybridMultilevel"/>
    <w:tmpl w:val="37AACCA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9B2"/>
    <w:multiLevelType w:val="hybridMultilevel"/>
    <w:tmpl w:val="98903832"/>
    <w:lvl w:ilvl="0" w:tplc="2B34B29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4B50BE"/>
    <w:multiLevelType w:val="hybridMultilevel"/>
    <w:tmpl w:val="A22026A6"/>
    <w:lvl w:ilvl="0" w:tplc="AE7A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E2CAC"/>
    <w:multiLevelType w:val="hybridMultilevel"/>
    <w:tmpl w:val="182E242A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2418"/>
    <w:multiLevelType w:val="hybridMultilevel"/>
    <w:tmpl w:val="E87A1CDC"/>
    <w:lvl w:ilvl="0" w:tplc="AEA81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936FD"/>
    <w:multiLevelType w:val="hybridMultilevel"/>
    <w:tmpl w:val="964200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2185B"/>
    <w:multiLevelType w:val="hybridMultilevel"/>
    <w:tmpl w:val="45C4D5A0"/>
    <w:lvl w:ilvl="0" w:tplc="AE7A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3D1D45"/>
    <w:multiLevelType w:val="hybridMultilevel"/>
    <w:tmpl w:val="D48821C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88"/>
    <w:rsid w:val="000104C6"/>
    <w:rsid w:val="00023EB2"/>
    <w:rsid w:val="0005567B"/>
    <w:rsid w:val="000635A0"/>
    <w:rsid w:val="000722DB"/>
    <w:rsid w:val="0007338E"/>
    <w:rsid w:val="0009038A"/>
    <w:rsid w:val="000D7AC9"/>
    <w:rsid w:val="000F1DB2"/>
    <w:rsid w:val="000F720E"/>
    <w:rsid w:val="00104C6B"/>
    <w:rsid w:val="00110D6D"/>
    <w:rsid w:val="00131424"/>
    <w:rsid w:val="00132CE6"/>
    <w:rsid w:val="0014318D"/>
    <w:rsid w:val="00146D78"/>
    <w:rsid w:val="00150FEB"/>
    <w:rsid w:val="00166CD9"/>
    <w:rsid w:val="001900B2"/>
    <w:rsid w:val="0019532E"/>
    <w:rsid w:val="001A2D06"/>
    <w:rsid w:val="001B00CB"/>
    <w:rsid w:val="001B3C90"/>
    <w:rsid w:val="001B6549"/>
    <w:rsid w:val="001C5448"/>
    <w:rsid w:val="001D0122"/>
    <w:rsid w:val="001E3145"/>
    <w:rsid w:val="001F08AD"/>
    <w:rsid w:val="002051EE"/>
    <w:rsid w:val="0020689E"/>
    <w:rsid w:val="002224D4"/>
    <w:rsid w:val="00240E35"/>
    <w:rsid w:val="00243501"/>
    <w:rsid w:val="00251177"/>
    <w:rsid w:val="002668DC"/>
    <w:rsid w:val="00271E3A"/>
    <w:rsid w:val="002720A3"/>
    <w:rsid w:val="002A0F9D"/>
    <w:rsid w:val="002B5889"/>
    <w:rsid w:val="002B6338"/>
    <w:rsid w:val="002E181A"/>
    <w:rsid w:val="002F2A4A"/>
    <w:rsid w:val="003005E2"/>
    <w:rsid w:val="00300E12"/>
    <w:rsid w:val="003145D6"/>
    <w:rsid w:val="003151C3"/>
    <w:rsid w:val="00316D23"/>
    <w:rsid w:val="00317EFA"/>
    <w:rsid w:val="00332C98"/>
    <w:rsid w:val="003569E0"/>
    <w:rsid w:val="003578CC"/>
    <w:rsid w:val="003678AA"/>
    <w:rsid w:val="003709BC"/>
    <w:rsid w:val="00380E72"/>
    <w:rsid w:val="00383141"/>
    <w:rsid w:val="0038560B"/>
    <w:rsid w:val="003A672A"/>
    <w:rsid w:val="003B10CA"/>
    <w:rsid w:val="003B25B2"/>
    <w:rsid w:val="003B7786"/>
    <w:rsid w:val="003D66EA"/>
    <w:rsid w:val="004226C0"/>
    <w:rsid w:val="0042653B"/>
    <w:rsid w:val="004523AB"/>
    <w:rsid w:val="0045394F"/>
    <w:rsid w:val="00461AB2"/>
    <w:rsid w:val="00473A7A"/>
    <w:rsid w:val="004754ED"/>
    <w:rsid w:val="004A551D"/>
    <w:rsid w:val="004A7316"/>
    <w:rsid w:val="004B2643"/>
    <w:rsid w:val="004E74AC"/>
    <w:rsid w:val="004F1735"/>
    <w:rsid w:val="00511525"/>
    <w:rsid w:val="00516DE7"/>
    <w:rsid w:val="005265C9"/>
    <w:rsid w:val="0053304F"/>
    <w:rsid w:val="00540C31"/>
    <w:rsid w:val="00541810"/>
    <w:rsid w:val="005438E2"/>
    <w:rsid w:val="00545E6C"/>
    <w:rsid w:val="00557FDF"/>
    <w:rsid w:val="00572F60"/>
    <w:rsid w:val="005746BF"/>
    <w:rsid w:val="00595A85"/>
    <w:rsid w:val="00596CF1"/>
    <w:rsid w:val="005E592B"/>
    <w:rsid w:val="005E5C94"/>
    <w:rsid w:val="005F4F9F"/>
    <w:rsid w:val="00600165"/>
    <w:rsid w:val="00605FBF"/>
    <w:rsid w:val="00611137"/>
    <w:rsid w:val="00656AE4"/>
    <w:rsid w:val="006650E3"/>
    <w:rsid w:val="006832A4"/>
    <w:rsid w:val="006A3876"/>
    <w:rsid w:val="006B4425"/>
    <w:rsid w:val="006B49D7"/>
    <w:rsid w:val="006B5289"/>
    <w:rsid w:val="006B7BCB"/>
    <w:rsid w:val="006D2E90"/>
    <w:rsid w:val="006D3999"/>
    <w:rsid w:val="006D66EB"/>
    <w:rsid w:val="006E1EEA"/>
    <w:rsid w:val="006E3BF8"/>
    <w:rsid w:val="007117F4"/>
    <w:rsid w:val="00726820"/>
    <w:rsid w:val="0074415A"/>
    <w:rsid w:val="00745501"/>
    <w:rsid w:val="00754933"/>
    <w:rsid w:val="0076260C"/>
    <w:rsid w:val="00763132"/>
    <w:rsid w:val="00784E88"/>
    <w:rsid w:val="00786742"/>
    <w:rsid w:val="00787399"/>
    <w:rsid w:val="00787B8F"/>
    <w:rsid w:val="00796567"/>
    <w:rsid w:val="007972BB"/>
    <w:rsid w:val="007A0928"/>
    <w:rsid w:val="007A628D"/>
    <w:rsid w:val="007A7F99"/>
    <w:rsid w:val="007B016A"/>
    <w:rsid w:val="007E0CD7"/>
    <w:rsid w:val="007F47DD"/>
    <w:rsid w:val="00802E23"/>
    <w:rsid w:val="00836895"/>
    <w:rsid w:val="00854016"/>
    <w:rsid w:val="008557AA"/>
    <w:rsid w:val="00866FDB"/>
    <w:rsid w:val="008674ED"/>
    <w:rsid w:val="00870C3E"/>
    <w:rsid w:val="00871B8E"/>
    <w:rsid w:val="008B26CA"/>
    <w:rsid w:val="008C5985"/>
    <w:rsid w:val="008D1430"/>
    <w:rsid w:val="008F2E2F"/>
    <w:rsid w:val="0091125E"/>
    <w:rsid w:val="00911398"/>
    <w:rsid w:val="009122D9"/>
    <w:rsid w:val="00931B18"/>
    <w:rsid w:val="00934C6E"/>
    <w:rsid w:val="00942E33"/>
    <w:rsid w:val="0096017F"/>
    <w:rsid w:val="009620BD"/>
    <w:rsid w:val="00965891"/>
    <w:rsid w:val="00982CA0"/>
    <w:rsid w:val="00986247"/>
    <w:rsid w:val="009A3D7A"/>
    <w:rsid w:val="009A626E"/>
    <w:rsid w:val="009A6EBE"/>
    <w:rsid w:val="009B01BE"/>
    <w:rsid w:val="009B25BC"/>
    <w:rsid w:val="009B3B1C"/>
    <w:rsid w:val="009C3CA8"/>
    <w:rsid w:val="009D06EC"/>
    <w:rsid w:val="009E4F7F"/>
    <w:rsid w:val="009F11A3"/>
    <w:rsid w:val="00A1184C"/>
    <w:rsid w:val="00A1335D"/>
    <w:rsid w:val="00A24C5A"/>
    <w:rsid w:val="00A37ABA"/>
    <w:rsid w:val="00A54B45"/>
    <w:rsid w:val="00A6501A"/>
    <w:rsid w:val="00A65548"/>
    <w:rsid w:val="00A66CD8"/>
    <w:rsid w:val="00A715D8"/>
    <w:rsid w:val="00A724DD"/>
    <w:rsid w:val="00A7678C"/>
    <w:rsid w:val="00A81CE0"/>
    <w:rsid w:val="00AA1F0E"/>
    <w:rsid w:val="00AB1DFE"/>
    <w:rsid w:val="00AB6DB5"/>
    <w:rsid w:val="00AC4279"/>
    <w:rsid w:val="00AD069A"/>
    <w:rsid w:val="00AD38E3"/>
    <w:rsid w:val="00AD4093"/>
    <w:rsid w:val="00AD614B"/>
    <w:rsid w:val="00AE1778"/>
    <w:rsid w:val="00AE1869"/>
    <w:rsid w:val="00AE1F11"/>
    <w:rsid w:val="00AE2863"/>
    <w:rsid w:val="00AE7B1C"/>
    <w:rsid w:val="00AF6514"/>
    <w:rsid w:val="00B072B8"/>
    <w:rsid w:val="00B0750D"/>
    <w:rsid w:val="00B11D73"/>
    <w:rsid w:val="00B37EEE"/>
    <w:rsid w:val="00B408AE"/>
    <w:rsid w:val="00B61395"/>
    <w:rsid w:val="00B6522C"/>
    <w:rsid w:val="00B7511C"/>
    <w:rsid w:val="00B774BD"/>
    <w:rsid w:val="00B944D2"/>
    <w:rsid w:val="00BA3CD1"/>
    <w:rsid w:val="00BC1ACC"/>
    <w:rsid w:val="00BC5985"/>
    <w:rsid w:val="00BE1798"/>
    <w:rsid w:val="00BE1F44"/>
    <w:rsid w:val="00C234D6"/>
    <w:rsid w:val="00C35988"/>
    <w:rsid w:val="00C50E3A"/>
    <w:rsid w:val="00C54DAA"/>
    <w:rsid w:val="00C76961"/>
    <w:rsid w:val="00C77197"/>
    <w:rsid w:val="00C84B87"/>
    <w:rsid w:val="00CB24CC"/>
    <w:rsid w:val="00CC62F2"/>
    <w:rsid w:val="00CC6C22"/>
    <w:rsid w:val="00CD681E"/>
    <w:rsid w:val="00CE0052"/>
    <w:rsid w:val="00CE410C"/>
    <w:rsid w:val="00CE6C06"/>
    <w:rsid w:val="00CF77EB"/>
    <w:rsid w:val="00D013F9"/>
    <w:rsid w:val="00D164A7"/>
    <w:rsid w:val="00D16762"/>
    <w:rsid w:val="00D209BB"/>
    <w:rsid w:val="00D307D5"/>
    <w:rsid w:val="00D46903"/>
    <w:rsid w:val="00D4798D"/>
    <w:rsid w:val="00D75DBB"/>
    <w:rsid w:val="00D86FE8"/>
    <w:rsid w:val="00D870CA"/>
    <w:rsid w:val="00D95FD0"/>
    <w:rsid w:val="00DB3444"/>
    <w:rsid w:val="00DB3573"/>
    <w:rsid w:val="00DB5A71"/>
    <w:rsid w:val="00DD0023"/>
    <w:rsid w:val="00DD0D97"/>
    <w:rsid w:val="00DD1341"/>
    <w:rsid w:val="00DD1C33"/>
    <w:rsid w:val="00DE5EE2"/>
    <w:rsid w:val="00DE72B5"/>
    <w:rsid w:val="00DF56D0"/>
    <w:rsid w:val="00E0609B"/>
    <w:rsid w:val="00E10E80"/>
    <w:rsid w:val="00E1367F"/>
    <w:rsid w:val="00E241EC"/>
    <w:rsid w:val="00E24708"/>
    <w:rsid w:val="00E62B62"/>
    <w:rsid w:val="00E63F75"/>
    <w:rsid w:val="00E72CBA"/>
    <w:rsid w:val="00E73209"/>
    <w:rsid w:val="00E73DDC"/>
    <w:rsid w:val="00E76A7D"/>
    <w:rsid w:val="00EA2DD4"/>
    <w:rsid w:val="00EB3FD1"/>
    <w:rsid w:val="00EC5E75"/>
    <w:rsid w:val="00EC6F0D"/>
    <w:rsid w:val="00EE4974"/>
    <w:rsid w:val="00EF5F26"/>
    <w:rsid w:val="00F0418A"/>
    <w:rsid w:val="00F045DC"/>
    <w:rsid w:val="00F2076A"/>
    <w:rsid w:val="00F3626E"/>
    <w:rsid w:val="00F44E39"/>
    <w:rsid w:val="00F529FD"/>
    <w:rsid w:val="00F551E7"/>
    <w:rsid w:val="00F55302"/>
    <w:rsid w:val="00F6014B"/>
    <w:rsid w:val="00F6788E"/>
    <w:rsid w:val="00F823EF"/>
    <w:rsid w:val="00FA116B"/>
    <w:rsid w:val="00FA4203"/>
    <w:rsid w:val="00FA56AE"/>
    <w:rsid w:val="00FA6F7E"/>
    <w:rsid w:val="00FB7131"/>
    <w:rsid w:val="00FB7C5C"/>
    <w:rsid w:val="00FD74B9"/>
    <w:rsid w:val="00FE19C8"/>
    <w:rsid w:val="00FE22F3"/>
    <w:rsid w:val="00FE6DA6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CBA"/>
    <w:pPr>
      <w:spacing w:after="0" w:line="240" w:lineRule="auto"/>
    </w:pPr>
  </w:style>
  <w:style w:type="table" w:styleId="TableGrid">
    <w:name w:val="Table Grid"/>
    <w:basedOn w:val="TableNormal"/>
    <w:uiPriority w:val="59"/>
    <w:rsid w:val="00AE28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8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11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8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ELATE">
    <w:name w:val="TABELA_TE"/>
    <w:basedOn w:val="Normal"/>
    <w:uiPriority w:val="99"/>
    <w:rsid w:val="00332C98"/>
    <w:pPr>
      <w:suppressAutoHyphens w:val="0"/>
      <w:autoSpaceDE w:val="0"/>
      <w:autoSpaceDN w:val="0"/>
      <w:adjustRightInd w:val="0"/>
      <w:spacing w:before="60" w:after="60"/>
    </w:pPr>
    <w:rPr>
      <w:rFonts w:ascii="Courier New" w:eastAsiaTheme="minorEastAsia" w:hAnsi="Courier New" w:cs="Courier New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BB39-E9A4-426B-9148-BEC93A1B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drukaj</cp:lastModifiedBy>
  <cp:revision>2</cp:revision>
  <cp:lastPrinted>2019-04-23T11:44:00Z</cp:lastPrinted>
  <dcterms:created xsi:type="dcterms:W3CDTF">2019-04-26T07:47:00Z</dcterms:created>
  <dcterms:modified xsi:type="dcterms:W3CDTF">2019-04-26T07:47:00Z</dcterms:modified>
</cp:coreProperties>
</file>