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F3" w:rsidRDefault="008F0B12">
      <w:r>
        <w:t xml:space="preserve">Në bazë të nenit 9 </w:t>
      </w:r>
      <w:r w:rsidR="00D24C7E">
        <w:t xml:space="preserve">paragrafit 1 të Ligjit mbi </w:t>
      </w:r>
      <w:r w:rsidR="00E339B0">
        <w:t xml:space="preserve">sigurinë në komunikacion (Fleta Zyrtare e MZ”, 33/12, 58/14, 14/17), nenit 38 paragrafit 1 pikës 2 të Ligjit mbi </w:t>
      </w:r>
      <w:r w:rsidR="00A23315">
        <w:t>vetëqeverisjen lokale</w:t>
      </w:r>
      <w:r w:rsidR="00C43704">
        <w:t>(“</w:t>
      </w:r>
      <w:proofErr w:type="spellStart"/>
      <w:r w:rsidR="00C43704">
        <w:t>Fl</w:t>
      </w:r>
      <w:proofErr w:type="spellEnd"/>
      <w:r w:rsidR="00C43704">
        <w:t xml:space="preserve"> Zyrtare e MZ” </w:t>
      </w:r>
      <w:proofErr w:type="spellStart"/>
      <w:r w:rsidR="00C43704">
        <w:t>nr</w:t>
      </w:r>
      <w:proofErr w:type="spellEnd"/>
      <w:r w:rsidR="00C43704">
        <w:t xml:space="preserve"> 2/18, 34/19) dhe nenit 53 paragrafit 1 pikës</w:t>
      </w:r>
      <w:r w:rsidR="00396869">
        <w:t xml:space="preserve"> 2 të Statutit të Komunës së Tuzit </w:t>
      </w:r>
      <w:r w:rsidR="00A23315">
        <w:t xml:space="preserve"> (“</w:t>
      </w:r>
      <w:r w:rsidR="00263F43">
        <w:t>Fleta Zyrtare e MZ – dispozitat komunale</w:t>
      </w:r>
      <w:r w:rsidR="00396869">
        <w:t xml:space="preserve">”, </w:t>
      </w:r>
      <w:proofErr w:type="spellStart"/>
      <w:r w:rsidR="00CE0BF3">
        <w:t>nr</w:t>
      </w:r>
      <w:proofErr w:type="spellEnd"/>
      <w:r w:rsidR="00CE0BF3">
        <w:t xml:space="preserve"> 24/19), Kuvendi i Komunës së Tuzit, në seancën e mbajtur më _____________ 2019, ka sjellë:</w:t>
      </w:r>
    </w:p>
    <w:p w:rsidR="00CE0BF3" w:rsidRDefault="00CE0BF3"/>
    <w:p w:rsidR="008E7D05" w:rsidRDefault="00CE0BF3" w:rsidP="00CE0BF3">
      <w:pPr>
        <w:jc w:val="center"/>
        <w:rPr>
          <w:b/>
          <w:sz w:val="28"/>
          <w:szCs w:val="28"/>
        </w:rPr>
      </w:pPr>
      <w:r w:rsidRPr="00CE0BF3">
        <w:rPr>
          <w:b/>
          <w:sz w:val="28"/>
          <w:szCs w:val="28"/>
        </w:rPr>
        <w:t>VENDIM</w:t>
      </w:r>
    </w:p>
    <w:p w:rsidR="00CE0BF3" w:rsidRDefault="00CE0BF3" w:rsidP="00CE0BF3">
      <w:pPr>
        <w:jc w:val="center"/>
        <w:rPr>
          <w:b/>
        </w:rPr>
      </w:pPr>
      <w:r>
        <w:rPr>
          <w:b/>
        </w:rPr>
        <w:t xml:space="preserve">mbi </w:t>
      </w:r>
      <w:r w:rsidR="004D5ABA">
        <w:rPr>
          <w:b/>
        </w:rPr>
        <w:t>rregullimin e komunikacionit në rrugët e Komunës së Tuzit</w:t>
      </w:r>
    </w:p>
    <w:p w:rsidR="004D5ABA" w:rsidRDefault="004D5ABA" w:rsidP="00CE0BF3">
      <w:pPr>
        <w:jc w:val="center"/>
        <w:rPr>
          <w:b/>
        </w:rPr>
      </w:pPr>
    </w:p>
    <w:p w:rsidR="004D5ABA" w:rsidRDefault="004D5ABA" w:rsidP="00CE0BF3">
      <w:pPr>
        <w:jc w:val="center"/>
        <w:rPr>
          <w:b/>
        </w:rPr>
      </w:pPr>
      <w:r>
        <w:rPr>
          <w:b/>
        </w:rPr>
        <w:t>DISPOZITAT THEMELORE</w:t>
      </w:r>
    </w:p>
    <w:p w:rsidR="004D5ABA" w:rsidRDefault="004D5ABA" w:rsidP="00CE0BF3">
      <w:pPr>
        <w:jc w:val="center"/>
        <w:rPr>
          <w:b/>
        </w:rPr>
      </w:pPr>
      <w:r>
        <w:rPr>
          <w:b/>
        </w:rPr>
        <w:t>Neni 1</w:t>
      </w:r>
    </w:p>
    <w:p w:rsidR="004D5ABA" w:rsidRDefault="008A76B0" w:rsidP="00CE0BF3">
      <w:pPr>
        <w:jc w:val="center"/>
      </w:pPr>
      <w:r>
        <w:t xml:space="preserve">Me këtë Vendim rregullohet </w:t>
      </w:r>
      <w:r w:rsidR="0009311F">
        <w:t xml:space="preserve">komunikacioni i mjeteve motorike dhe automjeteve të tjera, komunikacioni </w:t>
      </w:r>
      <w:r w:rsidR="009F32A4">
        <w:t xml:space="preserve">i këmbësorëve </w:t>
      </w:r>
      <w:r w:rsidR="0091394B">
        <w:t xml:space="preserve">dhe pjesëmarrësve të tjerë në komunikacion, në </w:t>
      </w:r>
      <w:r w:rsidR="003B7A4E">
        <w:t>rrugë si dhe në të gjitha sipërfaqet rrugore (</w:t>
      </w:r>
      <w:r w:rsidR="00D30DD8">
        <w:t xml:space="preserve">hapësirat e parkimit, poligonet për stërvitjen e </w:t>
      </w:r>
      <w:r w:rsidR="00680250">
        <w:t xml:space="preserve">drejtuesve dhe ngjashëm) në trevën e Komunës së Tuzit, </w:t>
      </w:r>
      <w:r w:rsidR="00741A5D">
        <w:t xml:space="preserve">duke përshkruar masat teknike ë komunikacionit, kufizimet dhe ndalimet në pajtim me Ligjin mbi sigurinë e komunikacionit </w:t>
      </w:r>
      <w:r w:rsidR="001D1CB3">
        <w:t>rrugor.</w:t>
      </w:r>
    </w:p>
    <w:p w:rsidR="001D1CB3" w:rsidRDefault="001D1CB3" w:rsidP="00CE0BF3">
      <w:pPr>
        <w:jc w:val="center"/>
        <w:rPr>
          <w:b/>
        </w:rPr>
      </w:pPr>
      <w:r w:rsidRPr="001D1CB3">
        <w:rPr>
          <w:b/>
        </w:rPr>
        <w:t>Neni 2</w:t>
      </w:r>
    </w:p>
    <w:p w:rsidR="001D1CB3" w:rsidRDefault="001D1CB3" w:rsidP="00CE0BF3">
      <w:pPr>
        <w:jc w:val="center"/>
      </w:pPr>
      <w:r>
        <w:t xml:space="preserve">Rregullimi, regjimi dhe drejtimi i komunikacionit në rrugët kryesore dhe rrugët e qyteteve dhe vendbanimeve </w:t>
      </w:r>
      <w:r w:rsidR="008A541F">
        <w:t>në territorin e Komunës së Tuzit, bëhet në bazë të Projektit të rregullimit teknik të komunikacionit me të cilin:</w:t>
      </w:r>
    </w:p>
    <w:p w:rsidR="008A541F" w:rsidRDefault="00AF0173" w:rsidP="008A541F">
      <w:pPr>
        <w:pStyle w:val="ListParagraph"/>
        <w:numPr>
          <w:ilvl w:val="0"/>
          <w:numId w:val="1"/>
        </w:numPr>
        <w:jc w:val="center"/>
      </w:pPr>
      <w:r>
        <w:t>Caktojnë</w:t>
      </w:r>
      <w:r w:rsidR="004C0E77">
        <w:t xml:space="preserve"> komunikacionin </w:t>
      </w:r>
      <w:r w:rsidR="00272C75">
        <w:t>e mallrave, rrugorë dhe këmbësor,</w:t>
      </w:r>
    </w:p>
    <w:p w:rsidR="00272C75" w:rsidRDefault="00AF0173" w:rsidP="008A541F">
      <w:pPr>
        <w:pStyle w:val="ListParagraph"/>
        <w:numPr>
          <w:ilvl w:val="0"/>
          <w:numId w:val="1"/>
        </w:numPr>
        <w:jc w:val="center"/>
      </w:pPr>
      <w:r>
        <w:t>Caktojnë</w:t>
      </w:r>
      <w:r w:rsidR="00272C75">
        <w:t xml:space="preserve"> rrugët</w:t>
      </w:r>
      <w:r w:rsidR="00D233D0">
        <w:t xml:space="preserve"> me</w:t>
      </w:r>
      <w:r w:rsidR="00272C75">
        <w:t xml:space="preserve"> një</w:t>
      </w:r>
      <w:r w:rsidR="00D233D0">
        <w:t xml:space="preserve"> kalim</w:t>
      </w:r>
      <w:r w:rsidR="00272C75">
        <w:t xml:space="preserve"> dhe dy kalim</w:t>
      </w:r>
      <w:r w:rsidR="00D233D0">
        <w:t>e;</w:t>
      </w:r>
    </w:p>
    <w:p w:rsidR="00D233D0" w:rsidRDefault="00AF0173" w:rsidP="008A541F">
      <w:pPr>
        <w:pStyle w:val="ListParagraph"/>
        <w:numPr>
          <w:ilvl w:val="0"/>
          <w:numId w:val="1"/>
        </w:numPr>
        <w:jc w:val="center"/>
      </w:pPr>
      <w:r>
        <w:t>Caktojnë</w:t>
      </w:r>
      <w:r w:rsidR="00D233D0">
        <w:t xml:space="preserve"> rrugët kryesore dhe lokale</w:t>
      </w:r>
      <w:r w:rsidR="00A83D52">
        <w:t xml:space="preserve"> me përparësi kalimi dhe komunikacionin këmbësor;</w:t>
      </w:r>
    </w:p>
    <w:p w:rsidR="00A83D52" w:rsidRDefault="00AF0173" w:rsidP="008A541F">
      <w:pPr>
        <w:pStyle w:val="ListParagraph"/>
        <w:numPr>
          <w:ilvl w:val="0"/>
          <w:numId w:val="1"/>
        </w:numPr>
        <w:jc w:val="center"/>
      </w:pPr>
      <w:r>
        <w:t>Caktojnë</w:t>
      </w:r>
      <w:r w:rsidR="00A83D52">
        <w:t xml:space="preserve"> </w:t>
      </w:r>
      <w:r w:rsidR="00D014EA">
        <w:t xml:space="preserve">rrugët kryesore dhe lokale në të cilat ndalohet </w:t>
      </w:r>
      <w:r w:rsidR="001C1290">
        <w:t>komunikacioni i automjeteve ose</w:t>
      </w:r>
      <w:r w:rsidR="00D014EA">
        <w:t xml:space="preserve"> disa mjeteve</w:t>
      </w:r>
      <w:r w:rsidR="00747237">
        <w:t>, gjegjësisht mjeteve peshës së caktuar në të gjithë rrugën ose në disa segmente të saj;</w:t>
      </w:r>
    </w:p>
    <w:p w:rsidR="00747237" w:rsidRDefault="00AF0173" w:rsidP="00AF0173">
      <w:pPr>
        <w:pStyle w:val="ListParagraph"/>
        <w:numPr>
          <w:ilvl w:val="0"/>
          <w:numId w:val="1"/>
        </w:numPr>
        <w:jc w:val="center"/>
      </w:pPr>
      <w:r>
        <w:t>Caktojnë</w:t>
      </w:r>
      <w:r w:rsidR="001C1290">
        <w:t xml:space="preserve"> rrugët lokale dhe trasetë rrugore nëpër të cilat mund të qarkullojnë vetëm automjetet e transportit publik;</w:t>
      </w:r>
    </w:p>
    <w:p w:rsidR="001C1290" w:rsidRDefault="00D858CA" w:rsidP="00AF0173">
      <w:pPr>
        <w:pStyle w:val="ListParagraph"/>
        <w:numPr>
          <w:ilvl w:val="0"/>
          <w:numId w:val="1"/>
        </w:numPr>
        <w:jc w:val="center"/>
      </w:pPr>
      <w:r>
        <w:t xml:space="preserve">Kufizojnë shpejtësinë e lëvizjes në drejtime të veçanta, rrugë, rr. </w:t>
      </w:r>
      <w:r w:rsidR="00481C6D">
        <w:t>lokale, segmenteve të vendbanimeve ose krejt vendbanimeve;</w:t>
      </w:r>
    </w:p>
    <w:p w:rsidR="00481C6D" w:rsidRDefault="00896A73" w:rsidP="00AF0173">
      <w:pPr>
        <w:pStyle w:val="ListParagraph"/>
        <w:numPr>
          <w:ilvl w:val="0"/>
          <w:numId w:val="1"/>
        </w:numPr>
        <w:jc w:val="center"/>
      </w:pPr>
      <w:r>
        <w:t>Caktojnë hapësirat për parkimin e automjeteve;</w:t>
      </w:r>
    </w:p>
    <w:p w:rsidR="00896A73" w:rsidRDefault="00896A73" w:rsidP="00AF0173">
      <w:pPr>
        <w:pStyle w:val="ListParagraph"/>
        <w:numPr>
          <w:ilvl w:val="0"/>
          <w:numId w:val="1"/>
        </w:numPr>
        <w:jc w:val="center"/>
      </w:pPr>
      <w:r>
        <w:t>Përkufizojnë kohen e parkimit ose lëvizjes së mjeteve motorike,</w:t>
      </w:r>
    </w:p>
    <w:p w:rsidR="00896A73" w:rsidRDefault="00600FEA" w:rsidP="00AF0173">
      <w:pPr>
        <w:pStyle w:val="ListParagraph"/>
        <w:numPr>
          <w:ilvl w:val="0"/>
          <w:numId w:val="1"/>
        </w:numPr>
        <w:jc w:val="center"/>
      </w:pPr>
      <w:r>
        <w:t>Cakton mënyrën e rregullimit të komunikacionit në kryqëzimet e posaçme;</w:t>
      </w:r>
    </w:p>
    <w:p w:rsidR="00600FEA" w:rsidRDefault="00600FEA" w:rsidP="006C5A66">
      <w:pPr>
        <w:pStyle w:val="ListParagraph"/>
        <w:numPr>
          <w:ilvl w:val="0"/>
          <w:numId w:val="1"/>
        </w:numPr>
        <w:jc w:val="center"/>
      </w:pPr>
      <w:r>
        <w:t xml:space="preserve">Caktojnë </w:t>
      </w:r>
      <w:r w:rsidR="006C5A66">
        <w:t xml:space="preserve">trase dhe vendndalime </w:t>
      </w:r>
      <w:r w:rsidR="006C5A66" w:rsidRPr="006C5A66">
        <w:t>në transportin rrugor të linjës publik</w:t>
      </w:r>
      <w:r w:rsidR="005135F2">
        <w:t>e dhe jo publike</w:t>
      </w:r>
      <w:r w:rsidR="00B245B8">
        <w:t xml:space="preserve"> të transportit </w:t>
      </w:r>
      <w:r w:rsidR="00783744">
        <w:t>të pasagjerëve (vendndalimet për autobus dhe taksi);</w:t>
      </w:r>
    </w:p>
    <w:p w:rsidR="00783744" w:rsidRDefault="009453A2" w:rsidP="006C5A66">
      <w:pPr>
        <w:pStyle w:val="ListParagraph"/>
        <w:numPr>
          <w:ilvl w:val="0"/>
          <w:numId w:val="1"/>
        </w:numPr>
        <w:jc w:val="center"/>
      </w:pPr>
      <w:r>
        <w:t>Caktojnë poligonet për stërvitjen e kandidatëve për drejtues të mjeteve motorike</w:t>
      </w:r>
      <w:r w:rsidR="007A5FC5">
        <w:t>;</w:t>
      </w:r>
    </w:p>
    <w:p w:rsidR="007A5FC5" w:rsidRDefault="007A5FC5" w:rsidP="006C5A66">
      <w:pPr>
        <w:pStyle w:val="ListParagraph"/>
        <w:numPr>
          <w:ilvl w:val="0"/>
          <w:numId w:val="1"/>
        </w:numPr>
        <w:jc w:val="center"/>
      </w:pPr>
      <w:r>
        <w:t>Caktojnë lokacionet për vendosjen e shenjave rrugore dhe shenjave në komunikacion;</w:t>
      </w:r>
    </w:p>
    <w:p w:rsidR="007A5FC5" w:rsidRDefault="007A5FC5" w:rsidP="006C5A66">
      <w:pPr>
        <w:pStyle w:val="ListParagraph"/>
        <w:numPr>
          <w:ilvl w:val="0"/>
          <w:numId w:val="1"/>
        </w:numPr>
        <w:jc w:val="center"/>
      </w:pPr>
      <w:r>
        <w:t xml:space="preserve">Caktojnë drejtimet dhe hapësirat </w:t>
      </w:r>
      <w:r w:rsidR="00F564EB">
        <w:t xml:space="preserve">për lëvizjen e këmbësorëve , biçikletave, motoçikletave, </w:t>
      </w:r>
      <w:r w:rsidR="00F84A17">
        <w:t>të mjeteve me karroca dhe lëvizjes së kafshëve;</w:t>
      </w:r>
    </w:p>
    <w:p w:rsidR="003D61AC" w:rsidRDefault="003C4972" w:rsidP="006C5A66">
      <w:pPr>
        <w:pStyle w:val="ListParagraph"/>
        <w:numPr>
          <w:ilvl w:val="0"/>
          <w:numId w:val="1"/>
        </w:numPr>
        <w:jc w:val="center"/>
      </w:pPr>
      <w:r>
        <w:lastRenderedPageBreak/>
        <w:t>Caktojnë lokacione të vendkalimeve</w:t>
      </w:r>
      <w:r w:rsidR="003D61AC">
        <w:t xml:space="preserve"> të shënjuara</w:t>
      </w:r>
      <w:r>
        <w:t xml:space="preserve"> për këmbësorë</w:t>
      </w:r>
      <w:r w:rsidR="003D61AC">
        <w:t>;</w:t>
      </w:r>
    </w:p>
    <w:p w:rsidR="002C6F7E" w:rsidRDefault="003D61AC" w:rsidP="006C5A66">
      <w:pPr>
        <w:pStyle w:val="ListParagraph"/>
        <w:numPr>
          <w:ilvl w:val="0"/>
          <w:numId w:val="1"/>
        </w:numPr>
        <w:jc w:val="center"/>
      </w:pPr>
      <w:r>
        <w:t xml:space="preserve">Caktojnë zonat për këmbësor, drejtime të sigurta për lëvizjen </w:t>
      </w:r>
      <w:r w:rsidR="004E45C6">
        <w:t xml:space="preserve">e nxënësve dhe </w:t>
      </w:r>
      <w:r w:rsidR="006C56AA">
        <w:t xml:space="preserve">masa teknike të veçanta për sigurinë e </w:t>
      </w:r>
      <w:r w:rsidR="00EE6D9B">
        <w:t xml:space="preserve">këmbësorëve në afërsi të institucioneve </w:t>
      </w:r>
      <w:r w:rsidR="002C6F7E">
        <w:t xml:space="preserve">arsimore, shëndetësore dhe të tjera si kënde lojërash </w:t>
      </w:r>
      <w:proofErr w:type="spellStart"/>
      <w:r w:rsidR="002C6F7E">
        <w:t>etj</w:t>
      </w:r>
      <w:proofErr w:type="spellEnd"/>
      <w:r w:rsidR="002C6F7E">
        <w:t>;</w:t>
      </w:r>
    </w:p>
    <w:p w:rsidR="00F84A17" w:rsidRDefault="003C4972" w:rsidP="006C5A66">
      <w:pPr>
        <w:pStyle w:val="ListParagraph"/>
        <w:numPr>
          <w:ilvl w:val="0"/>
          <w:numId w:val="1"/>
        </w:numPr>
        <w:jc w:val="center"/>
      </w:pPr>
      <w:r>
        <w:t xml:space="preserve"> </w:t>
      </w:r>
      <w:r w:rsidR="00E53509">
        <w:t xml:space="preserve">Cakton vende të cilat janë të rregulluara për kalimin e personave </w:t>
      </w:r>
      <w:r w:rsidR="007F49FD">
        <w:t>me nevoja të posaçme</w:t>
      </w:r>
      <w:r w:rsidR="00E53509">
        <w:t xml:space="preserve">, përmes </w:t>
      </w:r>
      <w:r w:rsidR="007F49FD">
        <w:t>rrugët me dy shirita qarkullues;</w:t>
      </w:r>
    </w:p>
    <w:p w:rsidR="007F49FD" w:rsidRDefault="007F49FD" w:rsidP="006C5A66">
      <w:pPr>
        <w:pStyle w:val="ListParagraph"/>
        <w:numPr>
          <w:ilvl w:val="0"/>
          <w:numId w:val="1"/>
        </w:numPr>
        <w:jc w:val="center"/>
      </w:pPr>
      <w:r>
        <w:t xml:space="preserve">Cakton </w:t>
      </w:r>
      <w:r w:rsidR="00677623">
        <w:t xml:space="preserve">edhe masat e tjera teknike të komunikacionit të cilat kushtëzojnë </w:t>
      </w:r>
      <w:r w:rsidR="00063586">
        <w:t xml:space="preserve">siguri sa më të madhe për pjesëmarrësit e komunikacionit në të gjitha </w:t>
      </w:r>
      <w:r w:rsidR="00205741">
        <w:t xml:space="preserve">sipërfaqet rrugore publike </w:t>
      </w:r>
      <w:r w:rsidR="00D64B86">
        <w:t>edhe në territorin e Komunës.</w:t>
      </w:r>
    </w:p>
    <w:p w:rsidR="006146FF" w:rsidRDefault="00D64B86" w:rsidP="00D64B86">
      <w:pPr>
        <w:pStyle w:val="ListParagraph"/>
      </w:pPr>
      <w:r>
        <w:t>Pjesa përbërëse e projektit</w:t>
      </w:r>
      <w:r w:rsidR="00595862">
        <w:t xml:space="preserve"> të </w:t>
      </w:r>
      <w:r w:rsidR="009D6EAC">
        <w:t>rregullimit teknik të komunikacionit janë edhe planet horizontale dhe vertikale të sinjalistikës për rrugët e reja ose të rikonstruktuara</w:t>
      </w:r>
      <w:r w:rsidR="006146FF">
        <w:t>.</w:t>
      </w:r>
    </w:p>
    <w:p w:rsidR="006146FF" w:rsidRDefault="006146FF" w:rsidP="00D64B86">
      <w:pPr>
        <w:pStyle w:val="ListParagraph"/>
      </w:pPr>
    </w:p>
    <w:p w:rsidR="00D64B86" w:rsidRDefault="006146FF" w:rsidP="006146FF">
      <w:pPr>
        <w:pStyle w:val="ListParagraph"/>
        <w:jc w:val="center"/>
        <w:rPr>
          <w:b/>
        </w:rPr>
      </w:pPr>
      <w:r w:rsidRPr="006146FF">
        <w:rPr>
          <w:b/>
        </w:rPr>
        <w:t>Neni 3</w:t>
      </w:r>
    </w:p>
    <w:p w:rsidR="00577159" w:rsidRDefault="006146FF" w:rsidP="006146FF">
      <w:pPr>
        <w:pStyle w:val="ListParagraph"/>
        <w:jc w:val="center"/>
      </w:pPr>
      <w:r>
        <w:t>Projekti</w:t>
      </w:r>
      <w:r w:rsidR="00577159">
        <w:t>n</w:t>
      </w:r>
      <w:r>
        <w:t xml:space="preserve"> </w:t>
      </w:r>
      <w:r w:rsidR="00577159">
        <w:t>e</w:t>
      </w:r>
      <w:r>
        <w:t xml:space="preserve"> rregullimit teknik të komunikacionit</w:t>
      </w:r>
      <w:r w:rsidR="00577159">
        <w:t xml:space="preserve"> e sjellë kryetari i Komunës, me pëlqimin e Kuvendit të Komunës, në propozim të organeve të administratës lokale përgjegjës për punët e komunikacionit. </w:t>
      </w:r>
    </w:p>
    <w:p w:rsidR="006146FF" w:rsidRDefault="00BC398F" w:rsidP="006146FF">
      <w:pPr>
        <w:pStyle w:val="ListParagraph"/>
        <w:jc w:val="center"/>
      </w:pPr>
      <w:r>
        <w:t>Hartimin e Projektit teknik të</w:t>
      </w:r>
      <w:r w:rsidR="00B72182">
        <w:t xml:space="preserve"> rregullimit të komunikacionit, organi i administratës lokale kompetent për punët e komunikacionit, ia beson organizatës së specializuar, komisionit profesional ose </w:t>
      </w:r>
      <w:r w:rsidR="00793329">
        <w:t>projektuesit të autorizuar për këtë fushë.</w:t>
      </w:r>
    </w:p>
    <w:p w:rsidR="00793329" w:rsidRDefault="00793329" w:rsidP="006146FF">
      <w:pPr>
        <w:pStyle w:val="ListParagraph"/>
        <w:jc w:val="center"/>
      </w:pPr>
      <w:r>
        <w:t>Projekti përditësohet sipas nevojës.</w:t>
      </w:r>
    </w:p>
    <w:p w:rsidR="00793329" w:rsidRDefault="00E9779D" w:rsidP="006146FF">
      <w:pPr>
        <w:pStyle w:val="ListParagraph"/>
        <w:jc w:val="center"/>
      </w:pPr>
      <w:r>
        <w:t>Planet e sinjalistikës rrugore horizontale d</w:t>
      </w:r>
      <w:r w:rsidR="00AC1173">
        <w:t>he vertikale për rrugët e veçan</w:t>
      </w:r>
      <w:r>
        <w:t xml:space="preserve">ta </w:t>
      </w:r>
      <w:r w:rsidR="000135D8">
        <w:t>të sapo ndërtuara ose të rikonstruktuara bëhen</w:t>
      </w:r>
      <w:r w:rsidR="00261EC8">
        <w:t xml:space="preserve"> pjesë të Proj</w:t>
      </w:r>
      <w:r w:rsidR="000135D8">
        <w:t>e</w:t>
      </w:r>
      <w:r w:rsidR="00261EC8">
        <w:t>k</w:t>
      </w:r>
      <w:r w:rsidR="000135D8">
        <w:t>tit</w:t>
      </w:r>
      <w:r w:rsidR="00AC1173">
        <w:t xml:space="preserve">, pas marrjes së pranimit teknik të punëve të kryera dhe me marrjen e lejes së nevojshme. </w:t>
      </w:r>
    </w:p>
    <w:p w:rsidR="002439C0" w:rsidRPr="002439C0" w:rsidRDefault="002439C0" w:rsidP="006146FF">
      <w:pPr>
        <w:pStyle w:val="ListParagraph"/>
        <w:jc w:val="center"/>
        <w:rPr>
          <w:b/>
        </w:rPr>
      </w:pPr>
      <w:r w:rsidRPr="002439C0">
        <w:rPr>
          <w:b/>
        </w:rPr>
        <w:t>Neni 4</w:t>
      </w:r>
    </w:p>
    <w:p w:rsidR="002439C0" w:rsidRDefault="008E592C" w:rsidP="006146FF">
      <w:pPr>
        <w:pStyle w:val="ListParagraph"/>
        <w:jc w:val="center"/>
      </w:pPr>
      <w:r>
        <w:t xml:space="preserve">Ndryshimet dhe plotësimet </w:t>
      </w:r>
      <w:r w:rsidR="006F51E4">
        <w:t xml:space="preserve">e Projektit </w:t>
      </w:r>
      <w:r w:rsidR="00E608FF">
        <w:t xml:space="preserve">të rregullimit teknik të komunikacionit </w:t>
      </w:r>
      <w:r w:rsidR="009222C6">
        <w:t xml:space="preserve">për rrugë të veçanta, rrugica, vendbanime dhe ngjashëm., sjellën në proces i cili është </w:t>
      </w:r>
      <w:r w:rsidR="00BA7CB8">
        <w:t xml:space="preserve">identik </w:t>
      </w:r>
      <w:r w:rsidR="00E720BC">
        <w:t xml:space="preserve">me procesin e sjelljes së Projektit themelor. </w:t>
      </w:r>
    </w:p>
    <w:p w:rsidR="00E720BC" w:rsidRDefault="00E720BC" w:rsidP="006146FF">
      <w:pPr>
        <w:pStyle w:val="ListParagraph"/>
        <w:jc w:val="center"/>
        <w:rPr>
          <w:b/>
        </w:rPr>
      </w:pPr>
      <w:r w:rsidRPr="00E720BC">
        <w:rPr>
          <w:b/>
        </w:rPr>
        <w:t xml:space="preserve">Neni 5 </w:t>
      </w:r>
    </w:p>
    <w:p w:rsidR="00E720BC" w:rsidRDefault="003B18C3" w:rsidP="006146FF">
      <w:pPr>
        <w:pStyle w:val="ListParagraph"/>
        <w:jc w:val="center"/>
      </w:pPr>
      <w:r>
        <w:t>Vendosja e sinjalistikës</w:t>
      </w:r>
      <w:r w:rsidR="00E32BDE">
        <w:t xml:space="preserve"> rrugore</w:t>
      </w:r>
      <w:r>
        <w:t xml:space="preserve"> vertikale dhe horizontale </w:t>
      </w:r>
      <w:r w:rsidR="00284190">
        <w:t xml:space="preserve">bëhet në bazë të Projektit të rregullimit teknik të komunikacionit. </w:t>
      </w:r>
    </w:p>
    <w:p w:rsidR="00284190" w:rsidRDefault="00DD2DEA" w:rsidP="006146FF">
      <w:pPr>
        <w:pStyle w:val="ListParagraph"/>
        <w:jc w:val="center"/>
      </w:pPr>
      <w:r>
        <w:t>Shënjimi me shenja dhe sinjale kryhet në më</w:t>
      </w:r>
      <w:r w:rsidR="00B26364">
        <w:t xml:space="preserve">nyrë të rregullt, me shenja </w:t>
      </w:r>
      <w:r w:rsidR="001A77AE">
        <w:t xml:space="preserve">dhe sinjalistikë </w:t>
      </w:r>
      <w:r w:rsidR="00602D9C">
        <w:t>të standardizuar</w:t>
      </w:r>
      <w:r w:rsidR="00B26364">
        <w:t xml:space="preserve"> </w:t>
      </w:r>
      <w:r w:rsidR="00602D9C">
        <w:t xml:space="preserve">dhe të cilat shërbejnë që pjesëmarrësit në komunikacion të paralajmërohen dhe të lajmërohen mbi </w:t>
      </w:r>
      <w:r w:rsidR="00DD547B">
        <w:t xml:space="preserve">kufizimet, ndalimet, detyrimet, </w:t>
      </w:r>
      <w:r w:rsidR="00406810">
        <w:t xml:space="preserve">rreziqet dhe orientimet. </w:t>
      </w:r>
    </w:p>
    <w:p w:rsidR="00406810" w:rsidRDefault="00406810" w:rsidP="006146FF">
      <w:pPr>
        <w:pStyle w:val="ListParagraph"/>
        <w:jc w:val="center"/>
      </w:pPr>
      <w:r>
        <w:t>Me shenja komunikac</w:t>
      </w:r>
      <w:r w:rsidR="00EB1110">
        <w:t xml:space="preserve">ioni duhet të shënjohen edhe rreziqet e karakterit të përkohshëm, posaçërisht ato të cilat </w:t>
      </w:r>
      <w:r w:rsidR="00140230">
        <w:t xml:space="preserve">ngjajnë për shkak të </w:t>
      </w:r>
      <w:r w:rsidR="00352566">
        <w:t xml:space="preserve">dëmit të befasishëm ose </w:t>
      </w:r>
      <w:r w:rsidR="003011D2">
        <w:t xml:space="preserve">të paaftësimit të rrugës, </w:t>
      </w:r>
      <w:r w:rsidR="00E147A0">
        <w:t xml:space="preserve">si dhe </w:t>
      </w:r>
      <w:r w:rsidR="00DA4F24">
        <w:t xml:space="preserve">kufizimet e përkohshme dhe ndalimet në komunikacion. </w:t>
      </w:r>
    </w:p>
    <w:p w:rsidR="00DA4F24" w:rsidRDefault="00DA4F24" w:rsidP="006146FF">
      <w:pPr>
        <w:pStyle w:val="ListParagraph"/>
        <w:jc w:val="center"/>
      </w:pPr>
      <w:r>
        <w:t xml:space="preserve">Shenjat e përkohshme duhet të largohen sapo të ndalojë arsyeja se përse janë vendosur. </w:t>
      </w:r>
    </w:p>
    <w:p w:rsidR="00065778" w:rsidRDefault="00065778" w:rsidP="006146FF">
      <w:pPr>
        <w:pStyle w:val="ListParagraph"/>
        <w:jc w:val="center"/>
        <w:rPr>
          <w:b/>
        </w:rPr>
      </w:pPr>
      <w:r w:rsidRPr="00065778">
        <w:rPr>
          <w:b/>
        </w:rPr>
        <w:t>Neni 6</w:t>
      </w:r>
    </w:p>
    <w:p w:rsidR="00065778" w:rsidRDefault="009740A2" w:rsidP="00CE139B">
      <w:pPr>
        <w:pStyle w:val="ListParagraph"/>
        <w:jc w:val="center"/>
      </w:pPr>
      <w:r>
        <w:t xml:space="preserve">Vendosjen dhe mirëmbajtjen e sinjalistikës horizontale dhe vertikale e kryen </w:t>
      </w:r>
      <w:r w:rsidR="00640765">
        <w:t>ndërmarrja të cilës i janë besuar të gjitha punët.</w:t>
      </w:r>
    </w:p>
    <w:p w:rsidR="00640765" w:rsidRDefault="00CE139B" w:rsidP="009740A2">
      <w:pPr>
        <w:pStyle w:val="ListParagraph"/>
      </w:pPr>
      <w:r>
        <w:t>Shënimi i sinjalistikës horizontale në territorin e komunës kryhet sipas nevojës.</w:t>
      </w:r>
    </w:p>
    <w:p w:rsidR="00CE139B" w:rsidRPr="00CE139B" w:rsidRDefault="00CE139B" w:rsidP="00CE139B">
      <w:pPr>
        <w:pStyle w:val="ListParagraph"/>
        <w:jc w:val="center"/>
        <w:rPr>
          <w:b/>
        </w:rPr>
      </w:pPr>
      <w:r>
        <w:rPr>
          <w:b/>
        </w:rPr>
        <w:t>Neni 7</w:t>
      </w:r>
    </w:p>
    <w:p w:rsidR="001D1CB3" w:rsidRDefault="000B6B7E" w:rsidP="00CE0BF3">
      <w:pPr>
        <w:jc w:val="center"/>
      </w:pPr>
      <w:r w:rsidRPr="000B6B7E">
        <w:lastRenderedPageBreak/>
        <w:t>Shoferi nuk duhet të ndalojë dhe parkojë automjetin në një vend që mund të rrezikojë sigurinë e përdoruesve të tjerë të rrugës ose të pengojë rrjedhën normale të trafikut ose qarkullimin e këmbësorëve.</w:t>
      </w:r>
    </w:p>
    <w:p w:rsidR="000B6B7E" w:rsidRDefault="000C0576" w:rsidP="00CE0BF3">
      <w:pPr>
        <w:jc w:val="center"/>
      </w:pPr>
      <w:r w:rsidRPr="000C0576">
        <w:t>Ndalimi nga paragrafi 1 i këtij neni nuk zbatohet për automjetet që përdorurën për ngarkimin dhe shkarkimin e mallrave për dyqane, depo,  dhe objekte të ngjashme, gjatë shkarkimit dhe ngarkimit të mallrave, si dhe për automjetet e angazhuar në transport automobilistik, për kohëzgjatjen e hyrjes dhe daljes së udhëtarëve nga  automjetet taksi, përveç nëse  rrezikohet siguria e përdoruesve të tjerë të komunikacionit.</w:t>
      </w:r>
    </w:p>
    <w:p w:rsidR="000C0576" w:rsidRDefault="000C0576" w:rsidP="00CE0BF3">
      <w:pPr>
        <w:jc w:val="center"/>
      </w:pPr>
      <w:r w:rsidRPr="000C0576">
        <w:t>Trotuari nuk duhet të jetë i zënë për ndonjë qëllim tjetër përveç lëvizjes së këmbësorëve.</w:t>
      </w:r>
    </w:p>
    <w:p w:rsidR="000213E5" w:rsidRDefault="000213E5" w:rsidP="00CE0BF3">
      <w:pPr>
        <w:jc w:val="center"/>
      </w:pPr>
      <w:r w:rsidRPr="000213E5">
        <w:t>Përjashtimisht nga paragrafi 2 i këtij neni, zonat e destinuara për lëvizjen e këmbësorëve mund të okupohen dhe përdoren përkohësisht vetëm me miratimin paraprak të administratës lokale përgjegjës për trafikun, duke lënë të paktën 1.6 m hapësirë të lirë për lëvizjen e këmbësorëve.</w:t>
      </w:r>
    </w:p>
    <w:p w:rsidR="000213E5" w:rsidRDefault="000213E5" w:rsidP="00CE0BF3">
      <w:pPr>
        <w:jc w:val="center"/>
        <w:rPr>
          <w:b/>
        </w:rPr>
      </w:pPr>
      <w:r w:rsidRPr="000213E5">
        <w:rPr>
          <w:b/>
        </w:rPr>
        <w:t>Neni 8</w:t>
      </w:r>
    </w:p>
    <w:p w:rsidR="000213E5" w:rsidRDefault="00976741" w:rsidP="00CE0BF3">
      <w:pPr>
        <w:jc w:val="center"/>
      </w:pPr>
      <w:r w:rsidRPr="00976741">
        <w:t>Administrata lokale përgjegjëse për transportin, mundet që në rrugët publike ose në një pjesë të rrugës publike, ditëve të caktuara ose për një periudhë të caktuar, të ndalojë ose kufizojë trafikun e të gjitha kategorive ose të kategorive të caktuara të automjeteve kur është e nevojshme për të parandaluar ose eliminuar rrezikun për përdoruesit e rrugës ose kur këtë e kërkojnë arsyet e mirëmbajtjes së rendit dhe qetësisë publike, gjegjësisht nëse pritet që komunikacioni të zhvillohet i rënduar.</w:t>
      </w:r>
    </w:p>
    <w:p w:rsidR="00976741" w:rsidRDefault="00976741" w:rsidP="00CE0BF3">
      <w:pPr>
        <w:jc w:val="center"/>
      </w:pPr>
      <w:r w:rsidRPr="00976741">
        <w:t>Kufizimet ose ndalimet nga paragrafi 1 i këtij neni shënohen me shenja të përshtatshme rrugore.</w:t>
      </w:r>
    </w:p>
    <w:p w:rsidR="00B12D3E" w:rsidRDefault="00B12D3E" w:rsidP="00CE0BF3">
      <w:pPr>
        <w:jc w:val="center"/>
      </w:pPr>
      <w:r w:rsidRPr="00B12D3E">
        <w:t>Për kufizimin ose ndalimin nga paragrafi 1 i këtij neni, organi kompetent i administratës lokale informon publikun në kohën e duhur përmes mediave.</w:t>
      </w:r>
    </w:p>
    <w:p w:rsidR="00B12D3E" w:rsidRDefault="00B12D3E" w:rsidP="00CE0BF3">
      <w:pPr>
        <w:jc w:val="center"/>
        <w:rPr>
          <w:b/>
        </w:rPr>
      </w:pPr>
      <w:r>
        <w:rPr>
          <w:b/>
        </w:rPr>
        <w:t>Neni 9</w:t>
      </w:r>
    </w:p>
    <w:p w:rsidR="00B12D3E" w:rsidRDefault="002B578D" w:rsidP="00CE0BF3">
      <w:pPr>
        <w:jc w:val="center"/>
      </w:pPr>
      <w:r w:rsidRPr="002B578D">
        <w:t>Shpejtësia e lëvizjes në rrugë të veçanta do të përcaktohet nga Projekti i Rregullimit Teknik të Trafikut.</w:t>
      </w:r>
    </w:p>
    <w:p w:rsidR="002B578D" w:rsidRDefault="002B578D" w:rsidP="00CE0BF3">
      <w:pPr>
        <w:jc w:val="center"/>
        <w:rPr>
          <w:b/>
        </w:rPr>
      </w:pPr>
      <w:r w:rsidRPr="002B578D">
        <w:rPr>
          <w:b/>
        </w:rPr>
        <w:t>Neni 10</w:t>
      </w:r>
    </w:p>
    <w:p w:rsidR="002B578D" w:rsidRDefault="001749DB" w:rsidP="00CE0BF3">
      <w:pPr>
        <w:jc w:val="center"/>
      </w:pPr>
      <w:r w:rsidRPr="001749DB">
        <w:t>Rrugët në vendbanime, rrugët, zonat e trafikut të këmbësorëve dhe biçikletave, parkingjet dhe rrugët hyrëse nuk mund të përdoren për lënien e materialit për ndërtimin e shtëpive, mbeturinave dhe materialeve të tjera, automjete të dëmtuara dhe larjen e automjeteve.</w:t>
      </w:r>
    </w:p>
    <w:p w:rsidR="001749DB" w:rsidRDefault="001749DB" w:rsidP="00CE0BF3">
      <w:pPr>
        <w:jc w:val="center"/>
        <w:rPr>
          <w:b/>
        </w:rPr>
      </w:pPr>
      <w:r w:rsidRPr="001749DB">
        <w:rPr>
          <w:b/>
        </w:rPr>
        <w:t>Neni 11</w:t>
      </w:r>
    </w:p>
    <w:p w:rsidR="001749DB" w:rsidRDefault="006F71B8" w:rsidP="00CE0BF3">
      <w:pPr>
        <w:jc w:val="center"/>
      </w:pPr>
      <w:r w:rsidRPr="006F71B8">
        <w:t xml:space="preserve">Në akse dhe rrugë në të cilat ndalohet trafiku për të gjitha ose disa lloje të automjeteve, mundet që gjatë kohës së intervenimeve emergjente me rotacion të ndezur të lëvizin automjetet e  </w:t>
      </w:r>
      <w:proofErr w:type="spellStart"/>
      <w:r w:rsidRPr="006F71B8">
        <w:t>e</w:t>
      </w:r>
      <w:proofErr w:type="spellEnd"/>
      <w:r w:rsidRPr="006F71B8">
        <w:t xml:space="preserve"> ambulancave, zjarrfikëset, automjetet e policisë dhe mjetet e shërbimeve publike.</w:t>
      </w:r>
    </w:p>
    <w:p w:rsidR="006D3B83" w:rsidRDefault="006D3B83" w:rsidP="00CE0BF3">
      <w:pPr>
        <w:jc w:val="center"/>
      </w:pPr>
      <w:r w:rsidRPr="006D3B83">
        <w:t>Në akset dhe rrugët nga paragrafi 1 i këtij neni, automjetet e furnizimit mund të lëvizin, në varësi të miratimit paraprak të organit përgjegjës për transportin të administratës lokale , për kohën kur është miratuar leja.</w:t>
      </w:r>
    </w:p>
    <w:p w:rsidR="006D3B83" w:rsidRDefault="006D3B83" w:rsidP="00CE0BF3">
      <w:pPr>
        <w:jc w:val="center"/>
      </w:pPr>
    </w:p>
    <w:p w:rsidR="006D3B83" w:rsidRDefault="006D3B83" w:rsidP="00CE0BF3">
      <w:pPr>
        <w:jc w:val="center"/>
        <w:rPr>
          <w:b/>
        </w:rPr>
      </w:pPr>
      <w:r w:rsidRPr="006D3B83">
        <w:rPr>
          <w:b/>
        </w:rPr>
        <w:lastRenderedPageBreak/>
        <w:t>Neni 12</w:t>
      </w:r>
    </w:p>
    <w:p w:rsidR="006D3B83" w:rsidRDefault="003538C1" w:rsidP="00CE0BF3">
      <w:pPr>
        <w:jc w:val="center"/>
      </w:pPr>
      <w:r w:rsidRPr="003538C1">
        <w:t>Sportet dhe ngjarjet e tjera, si dhe aktivitetet e tjera në rrugë, mund të kryhen në bazë të miratimeve të lëshuara nga administrata lokale përgjegjëse për transportin. Organizatori i sportit ose ngjarjeve ose aktiviteteve të tjera paraqet kërkesën për miratim jo më vonë se 7 ditë para ngjarjes.</w:t>
      </w:r>
    </w:p>
    <w:p w:rsidR="0014429C" w:rsidRDefault="0014429C" w:rsidP="00CE0BF3">
      <w:pPr>
        <w:jc w:val="center"/>
      </w:pPr>
      <w:r w:rsidRPr="0014429C">
        <w:t>Kërkesa për miratim përfshin: emrin e organizatorit, rrugën dhe relacionin në të cilin do të zhvillohet ngjarja ose veprimtaria, kohën e ngjarjes dhe masat që organizatori synon të marrë për të siguruar pjesëmarrësit dhe spektatorët, si dhe një program sporti ose ngjarje të tjera.</w:t>
      </w:r>
    </w:p>
    <w:p w:rsidR="0014429C" w:rsidRDefault="0014429C" w:rsidP="00CE0BF3">
      <w:pPr>
        <w:jc w:val="center"/>
      </w:pPr>
      <w:r w:rsidRPr="0014429C">
        <w:t>Miratimi nga paragrafi 1 i këtij neni, ndër të tjera, duhet të përmbajë:</w:t>
      </w:r>
    </w:p>
    <w:p w:rsidR="00884DAD" w:rsidRDefault="0014429C" w:rsidP="00CE0BF3">
      <w:pPr>
        <w:jc w:val="center"/>
      </w:pPr>
      <w:r w:rsidRPr="0014429C">
        <w:t>- masa që organizatori duhet të marrë për të siguruar pjesëmarrësit dhe spektatorët;</w:t>
      </w:r>
    </w:p>
    <w:p w:rsidR="0014429C" w:rsidRDefault="0014429C" w:rsidP="00884DAD">
      <w:pPr>
        <w:jc w:val="center"/>
      </w:pPr>
      <w:r w:rsidRPr="0014429C">
        <w:t xml:space="preserve"> - detyrimet e organizatorit për të informuar publikun për masat ose ndalimet e trafikut përmes mediave, jo më vonë se 48 orë para fillimit të një sporti ose ngjarje ose aktiviteti tjetër.</w:t>
      </w:r>
    </w:p>
    <w:p w:rsidR="00884DAD" w:rsidRDefault="00884DAD" w:rsidP="00884DAD">
      <w:pPr>
        <w:jc w:val="center"/>
        <w:rPr>
          <w:b/>
        </w:rPr>
      </w:pPr>
      <w:r w:rsidRPr="00884DAD">
        <w:rPr>
          <w:b/>
        </w:rPr>
        <w:t>Neni 13</w:t>
      </w:r>
    </w:p>
    <w:p w:rsidR="00884DAD" w:rsidRDefault="00D11DD0" w:rsidP="00884DAD">
      <w:pPr>
        <w:jc w:val="center"/>
      </w:pPr>
      <w:r w:rsidRPr="00D11DD0">
        <w:t xml:space="preserve">Për vendosjen e tabelave, billbordeve, kabinave telefonike,  objekteve  shitëse të përhershme  dhe atyre të shërbimit, etj., Asnjë leje nuk do të lëshohet në vendet ku objektet e instaluara do të fshihnin sinjalizimin horizontal dhe vertikal ose në mënyrë tjetër do të pengonin transparencën ose rrezikonin trafikun </w:t>
      </w:r>
      <w:r>
        <w:t xml:space="preserve">e automjeteve dhe këmbësorëve. </w:t>
      </w:r>
    </w:p>
    <w:p w:rsidR="00D11DD0" w:rsidRPr="00693A4A" w:rsidRDefault="00693A4A" w:rsidP="00884DAD">
      <w:pPr>
        <w:jc w:val="center"/>
        <w:rPr>
          <w:b/>
        </w:rPr>
      </w:pPr>
      <w:r w:rsidRPr="00693A4A">
        <w:rPr>
          <w:b/>
        </w:rPr>
        <w:t>Neni 14</w:t>
      </w:r>
    </w:p>
    <w:p w:rsidR="00693A4A" w:rsidRDefault="00693A4A" w:rsidP="00884DAD">
      <w:pPr>
        <w:jc w:val="center"/>
      </w:pPr>
      <w:r w:rsidRPr="00693A4A">
        <w:t>Në rrugët e institucioneve arsimore, shëndetësore dhe institucioneve të tjera ku frekuenca e këmbësorëve është rritur ose për shkaqe të  tjera, siguria e përdoruesve të rrugës, elementë të rëndësishëm - gardhe mbrojtëse mund të ngrihen ose të vendosen ndryshe për të siguruar mbrojtje për fëmijët dhe këmbësorët.</w:t>
      </w:r>
      <w:r>
        <w:t xml:space="preserve"> </w:t>
      </w:r>
      <w:r w:rsidRPr="00693A4A">
        <w:t>Vendndodhja, forma, madhësia dhe afatet e ngritjes së një gardhi mbrojtës ose mjeteve të tjera të mbrojtjes në zonën e peizazhit përcaktohen nga administrata lokale përgjegjëse për transportin.</w:t>
      </w:r>
    </w:p>
    <w:p w:rsidR="00693A4A" w:rsidRPr="00693A4A" w:rsidRDefault="00693A4A" w:rsidP="00884DAD">
      <w:pPr>
        <w:jc w:val="center"/>
        <w:rPr>
          <w:b/>
        </w:rPr>
      </w:pPr>
      <w:r w:rsidRPr="00693A4A">
        <w:rPr>
          <w:b/>
        </w:rPr>
        <w:t>Neni 15</w:t>
      </w:r>
    </w:p>
    <w:p w:rsidR="006D3B83" w:rsidRDefault="00B94A91" w:rsidP="00B94A91">
      <w:pPr>
        <w:jc w:val="center"/>
      </w:pPr>
      <w:r w:rsidRPr="00B94A91">
        <w:t>Ndërmarrja e shërbimeve komunale të cilës i është besuar mirëmbajtja e pastërtisë është e detyruar të ruajë pastërtinë në trotuarin e rrugëve dhe rripit rrugor,  në mënyrë që të sigurohet vazhdimisht dukshmëria normale e shenjave të trafikut.</w:t>
      </w:r>
      <w:r>
        <w:t xml:space="preserve"> </w:t>
      </w:r>
      <w:r w:rsidRPr="00B94A91">
        <w:t>Larja e rrugëve dhe zonave të trafikut publik në zonën e brendshme urbane të qytetit mund të bëhet ndërmjet orës 24 dhe 05.</w:t>
      </w:r>
    </w:p>
    <w:p w:rsidR="00AA56E9" w:rsidRDefault="006E6C9F" w:rsidP="00B94A91">
      <w:pPr>
        <w:jc w:val="center"/>
        <w:rPr>
          <w:b/>
        </w:rPr>
      </w:pPr>
      <w:r w:rsidRPr="006E6C9F">
        <w:rPr>
          <w:b/>
        </w:rPr>
        <w:t>Neni 16</w:t>
      </w:r>
    </w:p>
    <w:p w:rsidR="006E6C9F" w:rsidRDefault="006E6C9F" w:rsidP="00B94A91">
      <w:pPr>
        <w:jc w:val="center"/>
      </w:pPr>
      <w:r w:rsidRPr="006E6C9F">
        <w:t>Organi i administratës lokale, kur lëshojnë lejet e duhura nga juridiksioni i tyre, janë të detyruar të marrin miratimin paraprak të autoriteteve të administratës lokale, të ngarkuar me transportin, për të gjitha çështjet që lidhen me fushën e transportit (hyrje, parkim, lidhje, etj.).Procedura për përcaktimin e një terreni për shoferët është e njëjtë si në paragrafin 1 të këtij neni.</w:t>
      </w:r>
    </w:p>
    <w:p w:rsidR="00AA6670" w:rsidRDefault="00AA6670" w:rsidP="009B50FD">
      <w:pPr>
        <w:jc w:val="center"/>
        <w:rPr>
          <w:b/>
        </w:rPr>
      </w:pPr>
    </w:p>
    <w:p w:rsidR="00AA6670" w:rsidRDefault="00AA6670" w:rsidP="009B50FD">
      <w:pPr>
        <w:jc w:val="center"/>
        <w:rPr>
          <w:b/>
        </w:rPr>
      </w:pPr>
    </w:p>
    <w:p w:rsidR="00AA6670" w:rsidRDefault="009B50FD" w:rsidP="009B50FD">
      <w:pPr>
        <w:jc w:val="center"/>
        <w:rPr>
          <w:b/>
        </w:rPr>
      </w:pPr>
      <w:r>
        <w:rPr>
          <w:b/>
        </w:rPr>
        <w:lastRenderedPageBreak/>
        <w:t>Neni 17</w:t>
      </w:r>
    </w:p>
    <w:p w:rsidR="009B50FD" w:rsidRPr="009B50FD" w:rsidRDefault="009B50FD" w:rsidP="009B50FD">
      <w:pPr>
        <w:jc w:val="center"/>
        <w:rPr>
          <w:b/>
        </w:rPr>
      </w:pPr>
      <w:r w:rsidRPr="009B50FD">
        <w:t>Gjatë projektimit dhe ndërtimit të rrugëve në komunë, zbatohen standardet e përcaktuara dhe elementët teknike të trafikut, si dhe kushtet themelore të rregulluara me Ligjin për rrugë dhe rregullore të tjera.</w:t>
      </w:r>
      <w:r>
        <w:t xml:space="preserve"> </w:t>
      </w:r>
    </w:p>
    <w:p w:rsidR="009B50FD" w:rsidRDefault="009B50FD" w:rsidP="00B94A91">
      <w:pPr>
        <w:jc w:val="center"/>
      </w:pPr>
      <w:r w:rsidRPr="009B50FD">
        <w:t xml:space="preserve">Në komisionin për inspektimin teknik të punimeve të kryera në rrugë dhe struktura të tjera, organi që ka lëshuar lejen e ndërtimit cakton një përfaqësues të organit vendor përgjegjës për trafikun. </w:t>
      </w:r>
    </w:p>
    <w:p w:rsidR="009B50FD" w:rsidRDefault="009B50FD" w:rsidP="00B94A91">
      <w:pPr>
        <w:jc w:val="center"/>
      </w:pPr>
      <w:r w:rsidRPr="009B50FD">
        <w:t>Miratimi për përdorimin e objekteve rezidenciale, tregtare dhe të tjera nuk mund të lëshohet deri në ndërtimin e rrugëve dhe hapësirave të parkimit në përputhje me dokumentacionin e projektit.</w:t>
      </w:r>
    </w:p>
    <w:p w:rsidR="00AA6670" w:rsidRPr="00C42F0D" w:rsidRDefault="00AA6670" w:rsidP="00B94A91">
      <w:pPr>
        <w:jc w:val="center"/>
        <w:rPr>
          <w:b/>
        </w:rPr>
      </w:pPr>
      <w:r w:rsidRPr="00C42F0D">
        <w:rPr>
          <w:b/>
        </w:rPr>
        <w:t>Neni 18</w:t>
      </w:r>
    </w:p>
    <w:p w:rsidR="00AA6670" w:rsidRDefault="00AA6670" w:rsidP="00AA6670">
      <w:pPr>
        <w:jc w:val="center"/>
      </w:pPr>
      <w:r>
        <w:t>Parkimi i automjeteve motorike në territorin e komunës kryhet në përputhje me Ligjin për sigurinë në komunikacion dhe Projektin për rregullimin teknik të trafikut.</w:t>
      </w:r>
    </w:p>
    <w:p w:rsidR="00AA6670" w:rsidRDefault="00AA6670" w:rsidP="00AA6670">
      <w:pPr>
        <w:jc w:val="center"/>
      </w:pPr>
      <w:r>
        <w:t>Fondet për peizazhit, shënjimin dhe mirëmbajtjen e parkingut sigurohen nga tarifat e lokacionit për ndërtim dhe burime të tjera.</w:t>
      </w:r>
    </w:p>
    <w:p w:rsidR="00C42F0D" w:rsidRDefault="00C42F0D" w:rsidP="00AA6670">
      <w:pPr>
        <w:jc w:val="center"/>
        <w:rPr>
          <w:b/>
        </w:rPr>
      </w:pPr>
      <w:r w:rsidRPr="00C42F0D">
        <w:rPr>
          <w:b/>
        </w:rPr>
        <w:t>Neni 19</w:t>
      </w:r>
    </w:p>
    <w:p w:rsidR="0053072A" w:rsidRDefault="0053072A" w:rsidP="0053072A">
      <w:pPr>
        <w:jc w:val="center"/>
      </w:pPr>
      <w:r>
        <w:t>Vend parkimet</w:t>
      </w:r>
      <w:r>
        <w:t xml:space="preserve"> mund të jenë:</w:t>
      </w:r>
    </w:p>
    <w:p w:rsidR="0053072A" w:rsidRDefault="0053072A" w:rsidP="0053072A">
      <w:pPr>
        <w:jc w:val="center"/>
      </w:pPr>
      <w:r>
        <w:t xml:space="preserve"> - parkime të përgjithshme; </w:t>
      </w:r>
    </w:p>
    <w:p w:rsidR="0053072A" w:rsidRDefault="0053072A" w:rsidP="0053072A">
      <w:pPr>
        <w:jc w:val="center"/>
      </w:pPr>
      <w:r>
        <w:t xml:space="preserve">- parkingje të veçanta dhe </w:t>
      </w:r>
    </w:p>
    <w:p w:rsidR="0053072A" w:rsidRDefault="0053072A" w:rsidP="0053072A">
      <w:pPr>
        <w:jc w:val="center"/>
      </w:pPr>
      <w:r>
        <w:t>- parkingje të rastit.</w:t>
      </w:r>
    </w:p>
    <w:p w:rsidR="0053072A" w:rsidRDefault="0053072A" w:rsidP="0053072A">
      <w:pPr>
        <w:jc w:val="center"/>
      </w:pPr>
      <w:r>
        <w:t>Parkingje automjetesh konsiderohen vendet nga të cilat personat juridik dhe personat e tjerë ngarkojnë dhe shkarkojnë mallra për dyqanet e tyre, depot dhe objektet e ngjashme.</w:t>
      </w:r>
    </w:p>
    <w:p w:rsidR="0053072A" w:rsidRDefault="0053072A" w:rsidP="0053072A">
      <w:pPr>
        <w:jc w:val="center"/>
        <w:rPr>
          <w:b/>
        </w:rPr>
      </w:pPr>
      <w:r w:rsidRPr="0053072A">
        <w:rPr>
          <w:b/>
        </w:rPr>
        <w:t>Neni 20</w:t>
      </w:r>
    </w:p>
    <w:p w:rsidR="0039434B" w:rsidRDefault="0039434B" w:rsidP="0039434B">
      <w:pPr>
        <w:jc w:val="center"/>
      </w:pPr>
      <w:r>
        <w:t>Zonat e parkimit të përgjithshëm që janë ndërtuar ose do të ndërtohen në bazë të dokumenteve të planifikimit përcaktohen nga Projekti i Rregullimit Teknik të Trafikut.</w:t>
      </w:r>
    </w:p>
    <w:p w:rsidR="0039434B" w:rsidRDefault="0039434B" w:rsidP="0039434B">
      <w:pPr>
        <w:jc w:val="center"/>
      </w:pPr>
      <w:r>
        <w:t>Automjetet motorike mund të parkohen në zona të parkimit të përgjithshëm dhe ato: makina pasagjerësh, motoçikleta, automjete të kombinuara, kamionë deri në 2 ton ngarkesë dhe minibus.</w:t>
      </w:r>
    </w:p>
    <w:p w:rsidR="0039434B" w:rsidRPr="0039434B" w:rsidRDefault="0039434B" w:rsidP="0039434B">
      <w:pPr>
        <w:jc w:val="center"/>
      </w:pPr>
      <w:r>
        <w:t xml:space="preserve">Përjashtimisht, përveç automjeteve motorike nga paragrafi 2 i këtij neni, mund të parkohen autobusët që sjellin turistë dhe që bëjnë ture </w:t>
      </w:r>
      <w:r>
        <w:t>shëtitëse</w:t>
      </w:r>
      <w:r>
        <w:t xml:space="preserve"> gjatë kohës që  shikojnë qytetin, etj.</w:t>
      </w:r>
    </w:p>
    <w:p w:rsidR="00C42F0D" w:rsidRDefault="0039434B" w:rsidP="00AA6670">
      <w:pPr>
        <w:jc w:val="center"/>
        <w:rPr>
          <w:b/>
        </w:rPr>
      </w:pPr>
      <w:r w:rsidRPr="0039434B">
        <w:rPr>
          <w:b/>
        </w:rPr>
        <w:t>Neni 21</w:t>
      </w:r>
    </w:p>
    <w:p w:rsidR="008C69C2" w:rsidRDefault="008C69C2" w:rsidP="008C69C2">
      <w:pPr>
        <w:jc w:val="center"/>
      </w:pPr>
      <w:r>
        <w:t>Parkingje e veçanta  mund të përcaktohen në truallin ndërtimor të parregulluar derisa toka e tillë të përdoret për qëllimin e saj të synuar. Parkimet e veçanta përcaktohen nga organi i administratës lokale  përgjegjës për peizazhin, duke përshkruar kërkesat minimale teknike për këto zona.</w:t>
      </w:r>
    </w:p>
    <w:p w:rsidR="0039434B" w:rsidRDefault="008C69C2" w:rsidP="008C69C2">
      <w:pPr>
        <w:jc w:val="center"/>
      </w:pPr>
      <w:r>
        <w:t>Vend parkimet</w:t>
      </w:r>
      <w:r>
        <w:t xml:space="preserve"> e veçanta duhet të shënohen me shenjë trafiku.</w:t>
      </w:r>
    </w:p>
    <w:p w:rsidR="008C69C2" w:rsidRDefault="008C69C2" w:rsidP="008C69C2">
      <w:pPr>
        <w:jc w:val="center"/>
      </w:pPr>
    </w:p>
    <w:p w:rsidR="008C69C2" w:rsidRPr="008C69C2" w:rsidRDefault="008C69C2" w:rsidP="008C69C2">
      <w:pPr>
        <w:jc w:val="center"/>
        <w:rPr>
          <w:b/>
        </w:rPr>
      </w:pPr>
      <w:r w:rsidRPr="008C69C2">
        <w:rPr>
          <w:b/>
        </w:rPr>
        <w:lastRenderedPageBreak/>
        <w:t>Neni 22</w:t>
      </w:r>
    </w:p>
    <w:p w:rsidR="001D67B3" w:rsidRDefault="001D67B3" w:rsidP="001D67B3">
      <w:pPr>
        <w:jc w:val="center"/>
      </w:pPr>
      <w:r>
        <w:t xml:space="preserve">Parkingje të rastit janë ato që organizohen në afërsi të objektit ku zhvillohen veprimtari sportive, kulturore, artistike dhe ngjarje të tjera, përveç nëse nuk  ka vende të tjera parkimi në afërsi. </w:t>
      </w:r>
    </w:p>
    <w:p w:rsidR="008C69C2" w:rsidRDefault="001D67B3" w:rsidP="001D67B3">
      <w:pPr>
        <w:jc w:val="center"/>
      </w:pPr>
      <w:r>
        <w:t>Koha dhe kushtet për parkimin e automjeteve në parkingjet e rastit përcaktohen nga organi i administratës lokale përgjegjës për transport, me kërkesë dhe propozim të organizatorit të ngjarjes.</w:t>
      </w:r>
    </w:p>
    <w:p w:rsidR="00F973DD" w:rsidRDefault="00F973DD" w:rsidP="00552B1E">
      <w:pPr>
        <w:jc w:val="center"/>
      </w:pPr>
    </w:p>
    <w:p w:rsidR="00552B1E" w:rsidRPr="00F973DD" w:rsidRDefault="00552B1E" w:rsidP="00552B1E">
      <w:pPr>
        <w:jc w:val="center"/>
        <w:rPr>
          <w:b/>
        </w:rPr>
      </w:pPr>
      <w:r w:rsidRPr="00F973DD">
        <w:rPr>
          <w:b/>
        </w:rPr>
        <w:t>MBIKËQYRJA</w:t>
      </w:r>
    </w:p>
    <w:p w:rsidR="00552B1E" w:rsidRPr="00F973DD" w:rsidRDefault="00552B1E" w:rsidP="00552B1E">
      <w:pPr>
        <w:jc w:val="center"/>
        <w:rPr>
          <w:b/>
        </w:rPr>
      </w:pPr>
      <w:r w:rsidRPr="00F973DD">
        <w:rPr>
          <w:b/>
        </w:rPr>
        <w:t>Neni 23</w:t>
      </w:r>
    </w:p>
    <w:p w:rsidR="00552B1E" w:rsidRDefault="00552B1E" w:rsidP="00552B1E">
      <w:pPr>
        <w:jc w:val="center"/>
      </w:pPr>
      <w:r>
        <w:t xml:space="preserve">Zbatimi i dispozitave të këtij vendimi mbikëqyret nga: </w:t>
      </w:r>
    </w:p>
    <w:p w:rsidR="00552B1E" w:rsidRDefault="00552B1E" w:rsidP="00552B1E">
      <w:pPr>
        <w:jc w:val="center"/>
      </w:pPr>
      <w:r>
        <w:t xml:space="preserve">1. Organi i administratës lokale përgjegjës për transportin; </w:t>
      </w:r>
    </w:p>
    <w:p w:rsidR="00552B1E" w:rsidRDefault="00552B1E" w:rsidP="00552B1E">
      <w:pPr>
        <w:jc w:val="center"/>
      </w:pPr>
      <w:r>
        <w:t>2. Shërbimi i Policisë Komunale të Tuzit;</w:t>
      </w:r>
    </w:p>
    <w:p w:rsidR="001D67B3" w:rsidRDefault="00552B1E" w:rsidP="00552B1E">
      <w:pPr>
        <w:jc w:val="center"/>
      </w:pPr>
      <w:r>
        <w:t xml:space="preserve"> 3. Organi kompetent i Drejtorisë së Policisë.</w:t>
      </w:r>
    </w:p>
    <w:p w:rsidR="00F973DD" w:rsidRDefault="00F973DD" w:rsidP="00552B1E">
      <w:pPr>
        <w:jc w:val="center"/>
        <w:rPr>
          <w:b/>
        </w:rPr>
      </w:pPr>
    </w:p>
    <w:p w:rsidR="00EB67D6" w:rsidRPr="000E3BDD" w:rsidRDefault="00EB67D6" w:rsidP="00EB67D6">
      <w:pPr>
        <w:jc w:val="center"/>
        <w:rPr>
          <w:b/>
        </w:rPr>
      </w:pPr>
      <w:r w:rsidRPr="000E3BDD">
        <w:rPr>
          <w:b/>
        </w:rPr>
        <w:t>DISPOZITA PENALE</w:t>
      </w:r>
    </w:p>
    <w:p w:rsidR="00EB67D6" w:rsidRPr="000E3BDD" w:rsidRDefault="00EB67D6" w:rsidP="00EB67D6">
      <w:pPr>
        <w:jc w:val="center"/>
        <w:rPr>
          <w:b/>
        </w:rPr>
      </w:pPr>
      <w:r w:rsidRPr="000E3BDD">
        <w:rPr>
          <w:b/>
        </w:rPr>
        <w:t>Neni 24</w:t>
      </w:r>
    </w:p>
    <w:p w:rsidR="00EB67D6" w:rsidRDefault="00EB67D6" w:rsidP="00EB67D6">
      <w:pPr>
        <w:jc w:val="center"/>
      </w:pPr>
      <w:r>
        <w:t xml:space="preserve">Me gjobë në shumën prej 250,00 deri në 1000 € do të gjobiten  personat juridik ose sipërmarrësit nëse: </w:t>
      </w:r>
    </w:p>
    <w:p w:rsidR="00EB67D6" w:rsidRDefault="00EB67D6" w:rsidP="00EB67D6">
      <w:pPr>
        <w:jc w:val="center"/>
      </w:pPr>
      <w:r>
        <w:t xml:space="preserve">-  veprojnë në kundërshtim me dispozitat e nenit 5 </w:t>
      </w:r>
    </w:p>
    <w:p w:rsidR="00EB67D6" w:rsidRDefault="00EB67D6" w:rsidP="00EB67D6">
      <w:pPr>
        <w:jc w:val="center"/>
      </w:pPr>
      <w:r>
        <w:t xml:space="preserve">-  veprojnë në kundërshtim me dispozitat e nenit 7 </w:t>
      </w:r>
    </w:p>
    <w:p w:rsidR="00EB67D6" w:rsidRDefault="00EB67D6" w:rsidP="00EB67D6">
      <w:pPr>
        <w:jc w:val="center"/>
      </w:pPr>
      <w:r>
        <w:t xml:space="preserve">-  veprojnë në kundërshtim me dispozitat e nenit 10 </w:t>
      </w:r>
    </w:p>
    <w:p w:rsidR="00EB67D6" w:rsidRDefault="00EB67D6" w:rsidP="00EB67D6">
      <w:pPr>
        <w:jc w:val="center"/>
      </w:pPr>
      <w:r>
        <w:t xml:space="preserve">-  veprojnë në kundërshtim me dispozitat e nenit 12 </w:t>
      </w:r>
    </w:p>
    <w:p w:rsidR="00EB67D6" w:rsidRDefault="00EB67D6" w:rsidP="00EB67D6">
      <w:pPr>
        <w:jc w:val="center"/>
      </w:pPr>
      <w:r>
        <w:t>-  veprojnë në kundërshtim me dispozitat e nenit 13.</w:t>
      </w:r>
    </w:p>
    <w:p w:rsidR="00F973DD" w:rsidRDefault="00EB67D6" w:rsidP="00EB67D6">
      <w:pPr>
        <w:jc w:val="center"/>
      </w:pPr>
      <w:r>
        <w:t xml:space="preserve"> -  veprojnë në kundërshtim me dispozitat e nenit 20 të këtij vendimi.</w:t>
      </w:r>
    </w:p>
    <w:p w:rsidR="00EB67D6" w:rsidRDefault="00EB67D6" w:rsidP="00EB67D6">
      <w:pPr>
        <w:jc w:val="center"/>
      </w:pPr>
      <w:r>
        <w:t>Për kundërvajtje nga paragrafi 1 i këtij neni, dënohet me gjobë edhe personi përgjegjës në  personin juridik, në vlerë prej 100,00 deri 300,00 €.</w:t>
      </w:r>
    </w:p>
    <w:p w:rsidR="00EB67D6" w:rsidRPr="00F973DD" w:rsidRDefault="00EB67D6" w:rsidP="00EB67D6">
      <w:pPr>
        <w:jc w:val="center"/>
      </w:pPr>
      <w:r>
        <w:t>Për veprën penale n</w:t>
      </w:r>
      <w:r w:rsidR="000E3BDD">
        <w:t>ga paragrafi 1 i këtij neni,</w:t>
      </w:r>
      <w:r>
        <w:t xml:space="preserve"> person</w:t>
      </w:r>
      <w:r w:rsidR="000E3BDD">
        <w:t>i</w:t>
      </w:r>
      <w:r>
        <w:t xml:space="preserve"> fizik dënohet me gjobë në shumë prej 30,00 deri në 60,00 €.</w:t>
      </w:r>
    </w:p>
    <w:p w:rsidR="00F973DD" w:rsidRDefault="000E3BDD" w:rsidP="00552B1E">
      <w:pPr>
        <w:jc w:val="center"/>
        <w:rPr>
          <w:b/>
        </w:rPr>
      </w:pPr>
      <w:r w:rsidRPr="000E3BDD">
        <w:rPr>
          <w:b/>
        </w:rPr>
        <w:t>Neni 25</w:t>
      </w:r>
    </w:p>
    <w:p w:rsidR="000E3BDD" w:rsidRDefault="000E3BDD" w:rsidP="00552B1E">
      <w:pPr>
        <w:jc w:val="center"/>
      </w:pPr>
      <w:r>
        <w:t xml:space="preserve">Ky Vendim hynë në fuqi ditën e tetë nga dita e publikimit në “Fletën zyrtare të MZ – dispozitat komunale”. </w:t>
      </w:r>
    </w:p>
    <w:p w:rsidR="000E3BDD" w:rsidRDefault="000E3BDD" w:rsidP="00552B1E">
      <w:pPr>
        <w:jc w:val="center"/>
      </w:pPr>
    </w:p>
    <w:p w:rsidR="009714F5" w:rsidRDefault="00D41124" w:rsidP="00D41124">
      <w:pPr>
        <w:rPr>
          <w:b/>
        </w:rPr>
      </w:pPr>
      <w:r>
        <w:rPr>
          <w:b/>
        </w:rPr>
        <w:lastRenderedPageBreak/>
        <w:t>Numër:</w:t>
      </w:r>
    </w:p>
    <w:p w:rsidR="00D41124" w:rsidRDefault="00D41124" w:rsidP="00D41124">
      <w:pPr>
        <w:rPr>
          <w:b/>
        </w:rPr>
      </w:pPr>
      <w:r>
        <w:rPr>
          <w:b/>
        </w:rPr>
        <w:t>Tuz,________________ 2019</w:t>
      </w:r>
    </w:p>
    <w:p w:rsidR="00D41124" w:rsidRDefault="00D41124" w:rsidP="00D41124">
      <w:pPr>
        <w:rPr>
          <w:b/>
        </w:rPr>
      </w:pPr>
    </w:p>
    <w:p w:rsidR="00D41124" w:rsidRDefault="00D41124" w:rsidP="00CC0A2D">
      <w:pPr>
        <w:jc w:val="center"/>
        <w:rPr>
          <w:b/>
        </w:rPr>
      </w:pPr>
      <w:r>
        <w:rPr>
          <w:b/>
        </w:rPr>
        <w:t>KUVENDI I KOMUNËS SË TUZIT</w:t>
      </w:r>
    </w:p>
    <w:p w:rsidR="00D41124" w:rsidRDefault="00D41124" w:rsidP="00CC0A2D">
      <w:pPr>
        <w:jc w:val="center"/>
        <w:rPr>
          <w:b/>
        </w:rPr>
      </w:pPr>
      <w:r>
        <w:rPr>
          <w:b/>
        </w:rPr>
        <w:t>KRYETARI I KUVENDIT</w:t>
      </w:r>
    </w:p>
    <w:p w:rsidR="00CC0A2D" w:rsidRPr="00D41124" w:rsidRDefault="00CC0A2D" w:rsidP="00CC0A2D">
      <w:pPr>
        <w:jc w:val="center"/>
        <w:rPr>
          <w:b/>
        </w:rPr>
      </w:pPr>
      <w:bookmarkStart w:id="0" w:name="_GoBack"/>
      <w:bookmarkEnd w:id="0"/>
      <w:r>
        <w:rPr>
          <w:b/>
        </w:rPr>
        <w:t>Fadil Kajoshaj</w:t>
      </w:r>
    </w:p>
    <w:p w:rsidR="000E3BDD" w:rsidRPr="0039434B" w:rsidRDefault="000E3BDD" w:rsidP="00552B1E">
      <w:pPr>
        <w:jc w:val="center"/>
      </w:pPr>
    </w:p>
    <w:sectPr w:rsidR="000E3BDD" w:rsidRPr="00394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96F80"/>
    <w:multiLevelType w:val="hybridMultilevel"/>
    <w:tmpl w:val="DFCA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71"/>
    <w:rsid w:val="000135D8"/>
    <w:rsid w:val="000213E5"/>
    <w:rsid w:val="00063586"/>
    <w:rsid w:val="00065778"/>
    <w:rsid w:val="0009311F"/>
    <w:rsid w:val="000B6B7E"/>
    <w:rsid w:val="000C0576"/>
    <w:rsid w:val="000E3BDD"/>
    <w:rsid w:val="00140230"/>
    <w:rsid w:val="0014429C"/>
    <w:rsid w:val="001749DB"/>
    <w:rsid w:val="001A77AE"/>
    <w:rsid w:val="001C1290"/>
    <w:rsid w:val="001D1CB3"/>
    <w:rsid w:val="001D67B3"/>
    <w:rsid w:val="00205741"/>
    <w:rsid w:val="002439C0"/>
    <w:rsid w:val="00261EC8"/>
    <w:rsid w:val="00263F43"/>
    <w:rsid w:val="00272C75"/>
    <w:rsid w:val="00284190"/>
    <w:rsid w:val="002B578D"/>
    <w:rsid w:val="002C6F7E"/>
    <w:rsid w:val="002F367C"/>
    <w:rsid w:val="003011D2"/>
    <w:rsid w:val="00352566"/>
    <w:rsid w:val="003538C1"/>
    <w:rsid w:val="0039434B"/>
    <w:rsid w:val="00396869"/>
    <w:rsid w:val="003B18C3"/>
    <w:rsid w:val="003B7A4E"/>
    <w:rsid w:val="003C4972"/>
    <w:rsid w:val="003D61AC"/>
    <w:rsid w:val="00406810"/>
    <w:rsid w:val="00481C6D"/>
    <w:rsid w:val="004C0E77"/>
    <w:rsid w:val="004D5ABA"/>
    <w:rsid w:val="004E45C6"/>
    <w:rsid w:val="005135F2"/>
    <w:rsid w:val="0053072A"/>
    <w:rsid w:val="00552B1E"/>
    <w:rsid w:val="00577159"/>
    <w:rsid w:val="00595862"/>
    <w:rsid w:val="00600FEA"/>
    <w:rsid w:val="00602D9C"/>
    <w:rsid w:val="006146FF"/>
    <w:rsid w:val="00640765"/>
    <w:rsid w:val="0066289A"/>
    <w:rsid w:val="00677623"/>
    <w:rsid w:val="00680250"/>
    <w:rsid w:val="00693A4A"/>
    <w:rsid w:val="006B5770"/>
    <w:rsid w:val="006C56AA"/>
    <w:rsid w:val="006C5A66"/>
    <w:rsid w:val="006D3B83"/>
    <w:rsid w:val="006E6C9F"/>
    <w:rsid w:val="006F51E4"/>
    <w:rsid w:val="006F71B8"/>
    <w:rsid w:val="00741A5D"/>
    <w:rsid w:val="00747237"/>
    <w:rsid w:val="00783744"/>
    <w:rsid w:val="00793329"/>
    <w:rsid w:val="007A5FC5"/>
    <w:rsid w:val="007F49FD"/>
    <w:rsid w:val="008519D9"/>
    <w:rsid w:val="00884DAD"/>
    <w:rsid w:val="00896A73"/>
    <w:rsid w:val="008A541F"/>
    <w:rsid w:val="008A76B0"/>
    <w:rsid w:val="008C69C2"/>
    <w:rsid w:val="008E2F52"/>
    <w:rsid w:val="008E592C"/>
    <w:rsid w:val="008E7D05"/>
    <w:rsid w:val="008F0B12"/>
    <w:rsid w:val="0091394B"/>
    <w:rsid w:val="009222C6"/>
    <w:rsid w:val="009453A2"/>
    <w:rsid w:val="009714F5"/>
    <w:rsid w:val="009740A2"/>
    <w:rsid w:val="00976741"/>
    <w:rsid w:val="009B50FD"/>
    <w:rsid w:val="009D6EAC"/>
    <w:rsid w:val="009F32A4"/>
    <w:rsid w:val="00A23315"/>
    <w:rsid w:val="00A83D52"/>
    <w:rsid w:val="00AA56E9"/>
    <w:rsid w:val="00AA6670"/>
    <w:rsid w:val="00AC1173"/>
    <w:rsid w:val="00AF0173"/>
    <w:rsid w:val="00B12D3E"/>
    <w:rsid w:val="00B245B8"/>
    <w:rsid w:val="00B26364"/>
    <w:rsid w:val="00B72182"/>
    <w:rsid w:val="00B94A91"/>
    <w:rsid w:val="00BA7CB8"/>
    <w:rsid w:val="00BC398F"/>
    <w:rsid w:val="00C42F0D"/>
    <w:rsid w:val="00C43704"/>
    <w:rsid w:val="00C45871"/>
    <w:rsid w:val="00C62C60"/>
    <w:rsid w:val="00CC0A2D"/>
    <w:rsid w:val="00CE0BF3"/>
    <w:rsid w:val="00CE139B"/>
    <w:rsid w:val="00D014EA"/>
    <w:rsid w:val="00D11DD0"/>
    <w:rsid w:val="00D233D0"/>
    <w:rsid w:val="00D24C7E"/>
    <w:rsid w:val="00D30DD8"/>
    <w:rsid w:val="00D41124"/>
    <w:rsid w:val="00D64B86"/>
    <w:rsid w:val="00D858CA"/>
    <w:rsid w:val="00DA4F24"/>
    <w:rsid w:val="00DD2DEA"/>
    <w:rsid w:val="00DD547B"/>
    <w:rsid w:val="00E147A0"/>
    <w:rsid w:val="00E32BDE"/>
    <w:rsid w:val="00E339B0"/>
    <w:rsid w:val="00E53509"/>
    <w:rsid w:val="00E608FF"/>
    <w:rsid w:val="00E720BC"/>
    <w:rsid w:val="00E9779D"/>
    <w:rsid w:val="00EB1110"/>
    <w:rsid w:val="00EB67D6"/>
    <w:rsid w:val="00EE6D9B"/>
    <w:rsid w:val="00F564EB"/>
    <w:rsid w:val="00F84A17"/>
    <w:rsid w:val="00F94038"/>
    <w:rsid w:val="00F9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F730-8B34-4C7E-B40D-26E2A8F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1F"/>
    <w:pPr>
      <w:ind w:left="720"/>
      <w:contextualSpacing/>
    </w:pPr>
  </w:style>
  <w:style w:type="paragraph" w:customStyle="1" w:styleId="T30X">
    <w:name w:val="T30X"/>
    <w:basedOn w:val="Normal"/>
    <w:uiPriority w:val="99"/>
    <w:rsid w:val="008E2F52"/>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2019-09-24T06:45:00Z</dcterms:created>
  <dcterms:modified xsi:type="dcterms:W3CDTF">2019-09-25T11:05:00Z</dcterms:modified>
</cp:coreProperties>
</file>