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0C" w:rsidRPr="009B70EF" w:rsidRDefault="0066510C" w:rsidP="001431DE">
      <w:pPr>
        <w:spacing w:line="240" w:lineRule="auto"/>
        <w:jc w:val="both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 xml:space="preserve">Në bazë të nenit 1 paragrafi 2 të Ligjit për tatim në patundshmëri (“Fleta zyrtare e MZ”, numër 25/19), nenit 38 paragrafi 1 pika 2 dhe 8 </w:t>
      </w:r>
      <w:r w:rsidR="00210651" w:rsidRPr="009B70EF">
        <w:rPr>
          <w:rFonts w:ascii="Garamond" w:hAnsi="Garamond"/>
          <w:lang w:val="sq-AL"/>
        </w:rPr>
        <w:t>të</w:t>
      </w:r>
      <w:r w:rsidRPr="009B70EF">
        <w:rPr>
          <w:rFonts w:ascii="Garamond" w:hAnsi="Garamond"/>
          <w:lang w:val="sq-AL"/>
        </w:rPr>
        <w:t xml:space="preserve"> Ligjit mbi vetëqeverisje lokale (“Fleta zyrtare e MZ”, numër 2/18 dhe 34/19) dhe nenit 53 paragrafi 1 pika 2 dhe 8 e Statutit të Komunës së Tuzit</w:t>
      </w:r>
      <w:r w:rsidR="00210651" w:rsidRPr="009B70EF">
        <w:rPr>
          <w:rFonts w:ascii="Garamond" w:hAnsi="Garamond"/>
          <w:lang w:val="sq-AL"/>
        </w:rPr>
        <w:t xml:space="preserve"> (“Fleta zyrtare e MZ-dispozitat komunale” numër 24/19)</w:t>
      </w:r>
      <w:r w:rsidRPr="009B70EF">
        <w:rPr>
          <w:rFonts w:ascii="Garamond" w:hAnsi="Garamond"/>
          <w:lang w:val="sq-AL"/>
        </w:rPr>
        <w:t>, në mbledhjen e mbajtur më ____.12.2019, ka sjellë</w:t>
      </w:r>
    </w:p>
    <w:p w:rsidR="0066510C" w:rsidRPr="009B70EF" w:rsidRDefault="0066510C" w:rsidP="0066510C">
      <w:pPr>
        <w:spacing w:after="0" w:line="240" w:lineRule="auto"/>
        <w:rPr>
          <w:rFonts w:ascii="Garamond" w:hAnsi="Garamond"/>
          <w:b/>
          <w:lang w:val="sq-AL"/>
        </w:rPr>
      </w:pPr>
    </w:p>
    <w:p w:rsidR="0066510C" w:rsidRPr="009B70EF" w:rsidRDefault="00210651" w:rsidP="0066510C">
      <w:pPr>
        <w:spacing w:after="0"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VENDIM</w:t>
      </w:r>
    </w:p>
    <w:p w:rsidR="0066510C" w:rsidRPr="009B70EF" w:rsidRDefault="0066510C" w:rsidP="0066510C">
      <w:pPr>
        <w:spacing w:after="0"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për tatim në patundshmëri</w:t>
      </w:r>
    </w:p>
    <w:p w:rsidR="0066510C" w:rsidRPr="009B70EF" w:rsidRDefault="0066510C" w:rsidP="0066510C">
      <w:pPr>
        <w:spacing w:after="0" w:line="240" w:lineRule="auto"/>
        <w:jc w:val="center"/>
        <w:rPr>
          <w:rFonts w:ascii="Garamond" w:hAnsi="Garamond"/>
          <w:b/>
          <w:lang w:val="sq-AL"/>
        </w:rPr>
      </w:pPr>
    </w:p>
    <w:p w:rsidR="0066510C" w:rsidRPr="009B70EF" w:rsidRDefault="0066510C" w:rsidP="0066510C">
      <w:pPr>
        <w:spacing w:after="0"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I DISPOZITAT E PËRGJITHSHME</w:t>
      </w:r>
    </w:p>
    <w:p w:rsidR="0066510C" w:rsidRPr="009B70EF" w:rsidRDefault="0066510C" w:rsidP="0066510C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Neni 1</w:t>
      </w:r>
    </w:p>
    <w:p w:rsidR="0066510C" w:rsidRPr="009B70EF" w:rsidRDefault="0066510C" w:rsidP="009B70EF">
      <w:pPr>
        <w:spacing w:line="240" w:lineRule="auto"/>
        <w:ind w:firstLine="360"/>
        <w:jc w:val="both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 xml:space="preserve">Me ketë Vendim aplikohet tatimi në patundshmëri të cilat gjinden në territorin e komunës së Tuzit, përcaktohet koeficienti korrigjues për përcaktimin e vlerës </w:t>
      </w:r>
      <w:r w:rsidR="002116A2" w:rsidRPr="009B70EF">
        <w:rPr>
          <w:rFonts w:ascii="Garamond" w:hAnsi="Garamond"/>
          <w:lang w:val="sq-AL"/>
        </w:rPr>
        <w:t>së treg</w:t>
      </w:r>
      <w:r w:rsidR="00A61F24" w:rsidRPr="009B70EF">
        <w:rPr>
          <w:rFonts w:ascii="Garamond" w:hAnsi="Garamond"/>
          <w:lang w:val="sq-AL"/>
        </w:rPr>
        <w:t>ut</w:t>
      </w:r>
      <w:r w:rsidRPr="009B70EF">
        <w:rPr>
          <w:rFonts w:ascii="Garamond" w:hAnsi="Garamond"/>
          <w:lang w:val="sq-AL"/>
        </w:rPr>
        <w:t xml:space="preserve"> të patundshmërisë, përcaktohet shkalla e tatimit, si dhe punët e përcaktimit, pagesës dhe kontrollit të tatimit.</w:t>
      </w:r>
    </w:p>
    <w:p w:rsidR="0066510C" w:rsidRPr="009B70EF" w:rsidRDefault="0066510C" w:rsidP="001C445F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II</w:t>
      </w:r>
      <w:r w:rsidR="001C445F" w:rsidRPr="009B70EF">
        <w:rPr>
          <w:rFonts w:ascii="Garamond" w:hAnsi="Garamond"/>
          <w:b/>
          <w:lang w:val="sq-AL"/>
        </w:rPr>
        <w:t xml:space="preserve"> PËRDORIMI I GJUHËS SË NDJESHME GJINORE</w:t>
      </w:r>
    </w:p>
    <w:p w:rsidR="001C445F" w:rsidRPr="009B70EF" w:rsidRDefault="001C445F" w:rsidP="001C445F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Neni 2</w:t>
      </w:r>
    </w:p>
    <w:p w:rsidR="001C445F" w:rsidRPr="009B70EF" w:rsidRDefault="001C445F" w:rsidP="009B70EF">
      <w:pPr>
        <w:pStyle w:val="NoSpacing"/>
        <w:ind w:firstLine="360"/>
        <w:jc w:val="both"/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</w:pP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Të gjitha shprehjet e përdorura në këtë vendim në gjininë mashkullore nënkuptojnë të njëjtat shprehje për persona fizik në gjininë femërore.</w:t>
      </w:r>
    </w:p>
    <w:p w:rsidR="001C445F" w:rsidRPr="009B70EF" w:rsidRDefault="001C445F" w:rsidP="001C445F">
      <w:pPr>
        <w:spacing w:line="240" w:lineRule="auto"/>
        <w:rPr>
          <w:rFonts w:ascii="Garamond" w:hAnsi="Garamond"/>
          <w:lang w:val="sq-AL"/>
        </w:rPr>
      </w:pPr>
    </w:p>
    <w:p w:rsidR="001C445F" w:rsidRPr="009B70EF" w:rsidRDefault="001C445F" w:rsidP="001C445F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 xml:space="preserve">III KOEFICIENTET KORIGJUES PËR PËRCAKTIMIN E VLERËS </w:t>
      </w:r>
      <w:r w:rsidR="002116A2" w:rsidRPr="009B70EF">
        <w:rPr>
          <w:rFonts w:ascii="Garamond" w:hAnsi="Garamond"/>
          <w:b/>
          <w:lang w:val="sq-AL"/>
        </w:rPr>
        <w:t>SË TREGUT</w:t>
      </w:r>
      <w:r w:rsidRPr="009B70EF">
        <w:rPr>
          <w:rFonts w:ascii="Garamond" w:hAnsi="Garamond"/>
          <w:b/>
          <w:lang w:val="sq-AL"/>
        </w:rPr>
        <w:t xml:space="preserve"> TË PATUNDSHMËRISË</w:t>
      </w:r>
    </w:p>
    <w:p w:rsidR="00D5445C" w:rsidRPr="009B70EF" w:rsidRDefault="00D5445C" w:rsidP="001C445F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Neni 3</w:t>
      </w:r>
    </w:p>
    <w:p w:rsidR="00D5445C" w:rsidRPr="009B70EF" w:rsidRDefault="00A61F24" w:rsidP="001C445F">
      <w:p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 xml:space="preserve">      </w:t>
      </w:r>
      <w:r w:rsidR="001C445F" w:rsidRPr="009B70EF">
        <w:rPr>
          <w:rFonts w:ascii="Garamond" w:hAnsi="Garamond"/>
          <w:lang w:val="sq-AL"/>
        </w:rPr>
        <w:t xml:space="preserve">Koeficienti komunal i patundshmërisë për përcaktimin e çmimit mesatar </w:t>
      </w:r>
      <w:r w:rsidRPr="009B70EF">
        <w:rPr>
          <w:rFonts w:ascii="Garamond" w:hAnsi="Garamond"/>
          <w:lang w:val="sq-AL"/>
        </w:rPr>
        <w:t>të tregut</w:t>
      </w:r>
      <w:r w:rsidR="001C445F" w:rsidRPr="009B70EF">
        <w:rPr>
          <w:rFonts w:ascii="Garamond" w:hAnsi="Garamond"/>
          <w:lang w:val="sq-AL"/>
        </w:rPr>
        <w:t xml:space="preserve"> për m</w:t>
      </w:r>
      <w:r w:rsidR="001C445F" w:rsidRPr="009B70EF">
        <w:rPr>
          <w:rFonts w:ascii="Garamond" w:hAnsi="Garamond"/>
          <w:vertAlign w:val="superscript"/>
          <w:lang w:val="sq-AL"/>
        </w:rPr>
        <w:t>2</w:t>
      </w:r>
      <w:r w:rsidR="001C445F" w:rsidRPr="009B70EF">
        <w:rPr>
          <w:rFonts w:ascii="Garamond" w:hAnsi="Garamond"/>
          <w:lang w:val="sq-AL"/>
        </w:rPr>
        <w:t xml:space="preserve"> të objekteve banesore, nëse organi kompetent i të dhënave statistikore nuk publikon çmimin mes</w:t>
      </w:r>
      <w:r w:rsidR="001F7FF3" w:rsidRPr="009B70EF">
        <w:rPr>
          <w:rFonts w:ascii="Garamond" w:hAnsi="Garamond"/>
          <w:lang w:val="sq-AL"/>
        </w:rPr>
        <w:t>a</w:t>
      </w:r>
      <w:r w:rsidR="001C445F" w:rsidRPr="009B70EF">
        <w:rPr>
          <w:rFonts w:ascii="Garamond" w:hAnsi="Garamond"/>
          <w:lang w:val="sq-AL"/>
        </w:rPr>
        <w:t>tar për m</w:t>
      </w:r>
      <w:r w:rsidR="001C445F" w:rsidRPr="009B70EF">
        <w:rPr>
          <w:rFonts w:ascii="Garamond" w:hAnsi="Garamond"/>
          <w:vertAlign w:val="superscript"/>
          <w:lang w:val="sq-AL"/>
        </w:rPr>
        <w:t>2</w:t>
      </w:r>
      <w:r w:rsidR="001C445F" w:rsidRPr="009B70EF">
        <w:rPr>
          <w:rFonts w:ascii="Garamond" w:hAnsi="Garamond"/>
          <w:lang w:val="sq-AL"/>
        </w:rPr>
        <w:t xml:space="preserve"> të objekteve banesore të sapo ndërtuara në komunën e Tuzit është 0,70.</w:t>
      </w:r>
      <w:r w:rsidR="001C445F" w:rsidRPr="009B70EF">
        <w:rPr>
          <w:rFonts w:ascii="Garamond" w:hAnsi="Garamond"/>
          <w:lang w:val="sq-AL"/>
        </w:rPr>
        <w:br/>
      </w:r>
      <w:r w:rsidRPr="009B70EF">
        <w:rPr>
          <w:rFonts w:ascii="Garamond" w:hAnsi="Garamond"/>
          <w:lang w:val="sq-AL"/>
        </w:rPr>
        <w:t xml:space="preserve">      </w:t>
      </w:r>
      <w:r w:rsidR="001C445F" w:rsidRPr="009B70EF">
        <w:rPr>
          <w:rFonts w:ascii="Garamond" w:hAnsi="Garamond"/>
          <w:lang w:val="sq-AL"/>
        </w:rPr>
        <w:t xml:space="preserve">Koeficienti </w:t>
      </w:r>
      <w:proofErr w:type="spellStart"/>
      <w:r w:rsidR="001C445F" w:rsidRPr="009B70EF">
        <w:rPr>
          <w:rFonts w:ascii="Garamond" w:hAnsi="Garamond"/>
          <w:lang w:val="sq-AL"/>
        </w:rPr>
        <w:t>korigjues</w:t>
      </w:r>
      <w:proofErr w:type="spellEnd"/>
      <w:r w:rsidR="001C445F" w:rsidRPr="009B70EF">
        <w:rPr>
          <w:rFonts w:ascii="Garamond" w:hAnsi="Garamond"/>
          <w:lang w:val="sq-AL"/>
        </w:rPr>
        <w:t xml:space="preserve"> për përcaktimin e çmimit mesatar </w:t>
      </w:r>
      <w:r w:rsidRPr="009B70EF">
        <w:rPr>
          <w:rFonts w:ascii="Garamond" w:hAnsi="Garamond"/>
          <w:lang w:val="sq-AL"/>
        </w:rPr>
        <w:t>të tregut</w:t>
      </w:r>
      <w:r w:rsidR="001C445F" w:rsidRPr="009B70EF">
        <w:rPr>
          <w:rFonts w:ascii="Garamond" w:hAnsi="Garamond"/>
          <w:lang w:val="sq-AL"/>
        </w:rPr>
        <w:t xml:space="preserve"> për m</w:t>
      </w:r>
      <w:r w:rsidR="001C445F" w:rsidRPr="009B70EF">
        <w:rPr>
          <w:rFonts w:ascii="Garamond" w:hAnsi="Garamond"/>
          <w:vertAlign w:val="superscript"/>
          <w:lang w:val="sq-AL"/>
        </w:rPr>
        <w:t>2</w:t>
      </w:r>
      <w:r w:rsidR="001C445F" w:rsidRPr="009B70EF">
        <w:rPr>
          <w:rFonts w:ascii="Garamond" w:hAnsi="Garamond"/>
          <w:lang w:val="sq-AL"/>
        </w:rPr>
        <w:t xml:space="preserve"> të objektit afarist, objektit banesor-afarist dhe </w:t>
      </w:r>
      <w:r w:rsidR="00D5445C" w:rsidRPr="009B70EF">
        <w:rPr>
          <w:rFonts w:ascii="Garamond" w:hAnsi="Garamond"/>
          <w:lang w:val="sq-AL"/>
        </w:rPr>
        <w:t>lokaleve afariste është 1,60.</w:t>
      </w:r>
      <w:r w:rsidR="00D5445C" w:rsidRPr="009B70EF">
        <w:rPr>
          <w:rFonts w:ascii="Garamond" w:hAnsi="Garamond"/>
          <w:lang w:val="sq-AL"/>
        </w:rPr>
        <w:br/>
      </w:r>
      <w:r w:rsidRPr="009B70EF">
        <w:rPr>
          <w:rFonts w:ascii="Garamond" w:hAnsi="Garamond"/>
          <w:lang w:val="sq-AL"/>
        </w:rPr>
        <w:t xml:space="preserve">      </w:t>
      </w:r>
      <w:r w:rsidR="00D5445C" w:rsidRPr="009B70EF">
        <w:rPr>
          <w:rFonts w:ascii="Garamond" w:hAnsi="Garamond"/>
          <w:lang w:val="sq-AL"/>
        </w:rPr>
        <w:t xml:space="preserve">Koeficienti </w:t>
      </w:r>
      <w:proofErr w:type="spellStart"/>
      <w:r w:rsidR="00D5445C" w:rsidRPr="009B70EF">
        <w:rPr>
          <w:rFonts w:ascii="Garamond" w:hAnsi="Garamond"/>
          <w:lang w:val="sq-AL"/>
        </w:rPr>
        <w:t>korigjues</w:t>
      </w:r>
      <w:proofErr w:type="spellEnd"/>
      <w:r w:rsidR="00D5445C" w:rsidRPr="009B70EF">
        <w:rPr>
          <w:rFonts w:ascii="Garamond" w:hAnsi="Garamond"/>
          <w:lang w:val="sq-AL"/>
        </w:rPr>
        <w:t xml:space="preserve"> për përcaktimin e çmimit mesatar </w:t>
      </w:r>
      <w:r w:rsidRPr="009B70EF">
        <w:rPr>
          <w:rFonts w:ascii="Garamond" w:hAnsi="Garamond"/>
          <w:lang w:val="sq-AL"/>
        </w:rPr>
        <w:t>të tregut</w:t>
      </w:r>
      <w:r w:rsidR="00D5445C" w:rsidRPr="009B70EF">
        <w:rPr>
          <w:rFonts w:ascii="Garamond" w:hAnsi="Garamond"/>
          <w:lang w:val="sq-AL"/>
        </w:rPr>
        <w:t xml:space="preserve"> për m</w:t>
      </w:r>
      <w:r w:rsidR="00D5445C" w:rsidRPr="009B70EF">
        <w:rPr>
          <w:rFonts w:ascii="Garamond" w:hAnsi="Garamond"/>
          <w:vertAlign w:val="superscript"/>
          <w:lang w:val="sq-AL"/>
        </w:rPr>
        <w:t xml:space="preserve">2 </w:t>
      </w:r>
      <w:r w:rsidR="00D5445C" w:rsidRPr="009B70EF">
        <w:rPr>
          <w:rFonts w:ascii="Garamond" w:hAnsi="Garamond"/>
          <w:lang w:val="sq-AL"/>
        </w:rPr>
        <w:t xml:space="preserve"> të objekteve prodhuese, vendeve për shkarkime, depove dhe </w:t>
      </w:r>
      <w:proofErr w:type="spellStart"/>
      <w:r w:rsidR="00D5445C" w:rsidRPr="009B70EF">
        <w:rPr>
          <w:rFonts w:ascii="Garamond" w:hAnsi="Garamond"/>
          <w:lang w:val="sq-AL"/>
        </w:rPr>
        <w:t>magacineve</w:t>
      </w:r>
      <w:proofErr w:type="spellEnd"/>
      <w:r w:rsidR="00D5445C" w:rsidRPr="009B70EF">
        <w:rPr>
          <w:rFonts w:ascii="Garamond" w:hAnsi="Garamond"/>
          <w:lang w:val="sq-AL"/>
        </w:rPr>
        <w:t xml:space="preserve"> është 0,70</w:t>
      </w:r>
      <w:r w:rsidRPr="009B70EF">
        <w:rPr>
          <w:rFonts w:ascii="Garamond" w:hAnsi="Garamond"/>
          <w:lang w:val="sq-AL"/>
        </w:rPr>
        <w:t>.</w:t>
      </w:r>
      <w:r w:rsidR="00D5445C" w:rsidRPr="009B70EF">
        <w:rPr>
          <w:rFonts w:ascii="Garamond" w:hAnsi="Garamond"/>
          <w:lang w:val="sq-AL"/>
        </w:rPr>
        <w:br/>
      </w:r>
      <w:r w:rsidRPr="009B70EF">
        <w:rPr>
          <w:rFonts w:ascii="Garamond" w:hAnsi="Garamond"/>
          <w:lang w:val="sq-AL"/>
        </w:rPr>
        <w:t xml:space="preserve">      </w:t>
      </w:r>
      <w:r w:rsidR="00D5445C" w:rsidRPr="009B70EF">
        <w:rPr>
          <w:rFonts w:ascii="Garamond" w:hAnsi="Garamond"/>
          <w:lang w:val="sq-AL"/>
        </w:rPr>
        <w:t xml:space="preserve">Koeficienti </w:t>
      </w:r>
      <w:proofErr w:type="spellStart"/>
      <w:r w:rsidR="00D5445C" w:rsidRPr="009B70EF">
        <w:rPr>
          <w:rFonts w:ascii="Garamond" w:hAnsi="Garamond"/>
          <w:lang w:val="sq-AL"/>
        </w:rPr>
        <w:t>korigjues</w:t>
      </w:r>
      <w:proofErr w:type="spellEnd"/>
      <w:r w:rsidR="00D5445C" w:rsidRPr="009B70EF">
        <w:rPr>
          <w:rFonts w:ascii="Garamond" w:hAnsi="Garamond"/>
          <w:lang w:val="sq-AL"/>
        </w:rPr>
        <w:t xml:space="preserve"> për përcaktimin e çmimit mesatar </w:t>
      </w:r>
      <w:r w:rsidRPr="009B70EF">
        <w:rPr>
          <w:rFonts w:ascii="Garamond" w:hAnsi="Garamond"/>
          <w:lang w:val="sq-AL"/>
        </w:rPr>
        <w:t>të tregut</w:t>
      </w:r>
      <w:r w:rsidR="00D5445C" w:rsidRPr="009B70EF">
        <w:rPr>
          <w:rFonts w:ascii="Garamond" w:hAnsi="Garamond"/>
          <w:lang w:val="sq-AL"/>
        </w:rPr>
        <w:t xml:space="preserve"> për m</w:t>
      </w:r>
      <w:r w:rsidR="00D5445C" w:rsidRPr="009B70EF">
        <w:rPr>
          <w:rFonts w:ascii="Garamond" w:hAnsi="Garamond"/>
          <w:vertAlign w:val="superscript"/>
          <w:lang w:val="sq-AL"/>
        </w:rPr>
        <w:t xml:space="preserve">2 </w:t>
      </w:r>
      <w:r w:rsidR="00D5445C" w:rsidRPr="009B70EF">
        <w:rPr>
          <w:rFonts w:ascii="Garamond" w:hAnsi="Garamond"/>
          <w:lang w:val="sq-AL"/>
        </w:rPr>
        <w:t xml:space="preserve"> të objektit ndihmës, hapsirës së pabanuar, garazhave, vendeve për parkim dhe bodrumeve është 0,40.</w:t>
      </w:r>
      <w:r w:rsidRPr="009B70EF">
        <w:rPr>
          <w:rFonts w:ascii="Garamond" w:hAnsi="Garamond"/>
          <w:lang w:val="sq-AL"/>
        </w:rPr>
        <w:t xml:space="preserve"> </w:t>
      </w:r>
      <w:r w:rsidR="00D5445C" w:rsidRPr="009B70EF">
        <w:rPr>
          <w:rFonts w:ascii="Garamond" w:hAnsi="Garamond"/>
          <w:lang w:val="sq-AL"/>
        </w:rPr>
        <w:br/>
      </w:r>
      <w:r w:rsidRPr="009B70EF">
        <w:rPr>
          <w:rFonts w:ascii="Garamond" w:hAnsi="Garamond"/>
          <w:lang w:val="sq-AL"/>
        </w:rPr>
        <w:t xml:space="preserve">      </w:t>
      </w:r>
      <w:r w:rsidR="00D5445C" w:rsidRPr="009B70EF">
        <w:rPr>
          <w:rFonts w:ascii="Garamond" w:hAnsi="Garamond"/>
          <w:lang w:val="sq-AL"/>
        </w:rPr>
        <w:t xml:space="preserve">Koeficienti </w:t>
      </w:r>
      <w:proofErr w:type="spellStart"/>
      <w:r w:rsidR="00D5445C" w:rsidRPr="009B70EF">
        <w:rPr>
          <w:rFonts w:ascii="Garamond" w:hAnsi="Garamond"/>
          <w:lang w:val="sq-AL"/>
        </w:rPr>
        <w:t>korigjues</w:t>
      </w:r>
      <w:proofErr w:type="spellEnd"/>
      <w:r w:rsidR="00D5445C" w:rsidRPr="009B70EF">
        <w:rPr>
          <w:rFonts w:ascii="Garamond" w:hAnsi="Garamond"/>
          <w:lang w:val="sq-AL"/>
        </w:rPr>
        <w:t xml:space="preserve"> për përcaktimin e çmimit mesatar </w:t>
      </w:r>
      <w:r w:rsidRPr="009B70EF">
        <w:rPr>
          <w:rFonts w:ascii="Garamond" w:hAnsi="Garamond"/>
          <w:lang w:val="sq-AL"/>
        </w:rPr>
        <w:t>të tregut</w:t>
      </w:r>
      <w:r w:rsidR="00D5445C" w:rsidRPr="009B70EF">
        <w:rPr>
          <w:rFonts w:ascii="Garamond" w:hAnsi="Garamond"/>
          <w:lang w:val="sq-AL"/>
        </w:rPr>
        <w:t xml:space="preserve"> për m</w:t>
      </w:r>
      <w:r w:rsidR="00D5445C" w:rsidRPr="009B70EF">
        <w:rPr>
          <w:rFonts w:ascii="Garamond" w:hAnsi="Garamond"/>
          <w:vertAlign w:val="superscript"/>
          <w:lang w:val="sq-AL"/>
        </w:rPr>
        <w:t>2</w:t>
      </w:r>
      <w:r w:rsidR="00D5445C" w:rsidRPr="009B70EF">
        <w:rPr>
          <w:rFonts w:ascii="Garamond" w:hAnsi="Garamond"/>
          <w:lang w:val="sq-AL"/>
        </w:rPr>
        <w:t xml:space="preserve"> të objektit në ndërtim është 0,40.</w:t>
      </w:r>
      <w:r w:rsidR="00D5445C" w:rsidRPr="009B70EF">
        <w:rPr>
          <w:rFonts w:ascii="Garamond" w:hAnsi="Garamond"/>
          <w:lang w:val="sq-AL"/>
        </w:rPr>
        <w:br/>
      </w:r>
      <w:r w:rsidRPr="009B70EF">
        <w:rPr>
          <w:rFonts w:ascii="Garamond" w:hAnsi="Garamond"/>
          <w:lang w:val="sq-AL"/>
        </w:rPr>
        <w:t xml:space="preserve">     </w:t>
      </w:r>
      <w:r w:rsidR="00D5445C" w:rsidRPr="009B70EF">
        <w:rPr>
          <w:rFonts w:ascii="Garamond" w:hAnsi="Garamond"/>
          <w:lang w:val="sq-AL"/>
        </w:rPr>
        <w:t xml:space="preserve">Koeficienti </w:t>
      </w:r>
      <w:proofErr w:type="spellStart"/>
      <w:r w:rsidR="00D5445C" w:rsidRPr="009B70EF">
        <w:rPr>
          <w:rFonts w:ascii="Garamond" w:hAnsi="Garamond"/>
          <w:lang w:val="sq-AL"/>
        </w:rPr>
        <w:t>korigjues</w:t>
      </w:r>
      <w:proofErr w:type="spellEnd"/>
      <w:r w:rsidR="00D5445C" w:rsidRPr="009B70EF">
        <w:rPr>
          <w:rFonts w:ascii="Garamond" w:hAnsi="Garamond"/>
          <w:lang w:val="sq-AL"/>
        </w:rPr>
        <w:t xml:space="preserve"> për përcaktimin e çmimit mesatar </w:t>
      </w:r>
      <w:r w:rsidRPr="009B70EF">
        <w:rPr>
          <w:rFonts w:ascii="Garamond" w:hAnsi="Garamond"/>
          <w:lang w:val="sq-AL"/>
        </w:rPr>
        <w:t>të tregut</w:t>
      </w:r>
      <w:r w:rsidR="00D5445C" w:rsidRPr="009B70EF">
        <w:rPr>
          <w:rFonts w:ascii="Garamond" w:hAnsi="Garamond"/>
          <w:lang w:val="sq-AL"/>
        </w:rPr>
        <w:t xml:space="preserve"> për m</w:t>
      </w:r>
      <w:r w:rsidR="00D5445C" w:rsidRPr="009B70EF">
        <w:rPr>
          <w:rFonts w:ascii="Garamond" w:hAnsi="Garamond"/>
          <w:vertAlign w:val="superscript"/>
          <w:lang w:val="sq-AL"/>
        </w:rPr>
        <w:t xml:space="preserve">2 </w:t>
      </w:r>
      <w:r w:rsidR="00D5445C" w:rsidRPr="009B70EF">
        <w:rPr>
          <w:rFonts w:ascii="Garamond" w:hAnsi="Garamond"/>
          <w:lang w:val="sq-AL"/>
        </w:rPr>
        <w:t>të objekteve të përkohshme të palëvizshme është 0,80.</w:t>
      </w:r>
    </w:p>
    <w:p w:rsidR="00D5445C" w:rsidRPr="009B70EF" w:rsidRDefault="00D5445C" w:rsidP="00D5445C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Neni 4</w:t>
      </w:r>
    </w:p>
    <w:p w:rsidR="00D5445C" w:rsidRPr="009B70EF" w:rsidRDefault="00A61F24" w:rsidP="00D5445C">
      <w:p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 xml:space="preserve"> </w:t>
      </w:r>
      <w:r w:rsidR="001F7FF3" w:rsidRPr="009B70EF">
        <w:rPr>
          <w:rFonts w:ascii="Garamond" w:hAnsi="Garamond"/>
          <w:lang w:val="sq-AL"/>
        </w:rPr>
        <w:t xml:space="preserve">   </w:t>
      </w:r>
      <w:r w:rsidR="00D5445C" w:rsidRPr="009B70EF">
        <w:rPr>
          <w:rFonts w:ascii="Garamond" w:hAnsi="Garamond"/>
          <w:lang w:val="sq-AL"/>
        </w:rPr>
        <w:t xml:space="preserve">Koeficienti i lokacionit për përcaktimin e vlerës </w:t>
      </w:r>
      <w:r w:rsidRPr="009B70EF">
        <w:rPr>
          <w:rFonts w:ascii="Garamond" w:hAnsi="Garamond"/>
          <w:lang w:val="sq-AL"/>
        </w:rPr>
        <w:t>së tregut</w:t>
      </w:r>
      <w:r w:rsidR="00D5445C" w:rsidRPr="009B70EF">
        <w:rPr>
          <w:rFonts w:ascii="Garamond" w:hAnsi="Garamond"/>
          <w:lang w:val="sq-AL"/>
        </w:rPr>
        <w:t xml:space="preserve"> të patundshmërisë është:</w:t>
      </w:r>
    </w:p>
    <w:p w:rsidR="00D5445C" w:rsidRPr="009B70EF" w:rsidRDefault="00D5445C" w:rsidP="00D5445C">
      <w:p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-për patundshmëri që i përkasin zonës I me koeficient 0,80</w:t>
      </w:r>
    </w:p>
    <w:p w:rsidR="00D5445C" w:rsidRPr="009B70EF" w:rsidRDefault="00D5445C" w:rsidP="00D5445C">
      <w:p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-për patundshmëri që i pë</w:t>
      </w:r>
      <w:r w:rsidR="00FC04D2" w:rsidRPr="009B70EF">
        <w:rPr>
          <w:rFonts w:ascii="Garamond" w:hAnsi="Garamond"/>
          <w:lang w:val="sq-AL"/>
        </w:rPr>
        <w:t>rkasin zonës II koeficienti 0,70</w:t>
      </w:r>
    </w:p>
    <w:p w:rsidR="00D5445C" w:rsidRPr="009B70EF" w:rsidRDefault="00D5445C" w:rsidP="00D5445C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lastRenderedPageBreak/>
        <w:t>Neni 5</w:t>
      </w:r>
    </w:p>
    <w:p w:rsidR="00D5445C" w:rsidRPr="009B70EF" w:rsidRDefault="00D5445C" w:rsidP="009B70EF">
      <w:pPr>
        <w:spacing w:line="240" w:lineRule="auto"/>
        <w:ind w:firstLine="270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 xml:space="preserve">Koeficienti i kvalitetit për përcaktimin e vlerës </w:t>
      </w:r>
      <w:r w:rsidR="001F7FF3" w:rsidRPr="009B70EF">
        <w:rPr>
          <w:rFonts w:ascii="Garamond" w:hAnsi="Garamond"/>
          <w:lang w:val="sq-AL"/>
        </w:rPr>
        <w:t>së tregut</w:t>
      </w:r>
      <w:r w:rsidRPr="009B70EF">
        <w:rPr>
          <w:rFonts w:ascii="Garamond" w:hAnsi="Garamond"/>
          <w:lang w:val="sq-AL"/>
        </w:rPr>
        <w:t xml:space="preserve"> të patundshmërisë </w:t>
      </w:r>
      <w:r w:rsidR="0018745C" w:rsidRPr="009B70EF">
        <w:rPr>
          <w:rFonts w:ascii="Garamond" w:hAnsi="Garamond"/>
          <w:lang w:val="sq-AL"/>
        </w:rPr>
        <w:t>–</w:t>
      </w:r>
      <w:r w:rsidRPr="009B70EF">
        <w:rPr>
          <w:rFonts w:ascii="Garamond" w:hAnsi="Garamond"/>
          <w:lang w:val="sq-AL"/>
        </w:rPr>
        <w:t xml:space="preserve"> </w:t>
      </w:r>
      <w:r w:rsidR="0018745C" w:rsidRPr="009B70EF">
        <w:rPr>
          <w:rFonts w:ascii="Garamond" w:hAnsi="Garamond"/>
          <w:lang w:val="sq-AL"/>
        </w:rPr>
        <w:t>truall është për</w:t>
      </w:r>
      <w:r w:rsidR="00A61F24" w:rsidRPr="009B70EF">
        <w:rPr>
          <w:rFonts w:ascii="Garamond" w:hAnsi="Garamond"/>
          <w:lang w:val="sq-AL"/>
        </w:rPr>
        <w:t>:</w:t>
      </w:r>
    </w:p>
    <w:p w:rsidR="0018745C" w:rsidRPr="009B70EF" w:rsidRDefault="0018745C" w:rsidP="0018745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Truall ndërtimor:</w:t>
      </w:r>
    </w:p>
    <w:p w:rsidR="0018745C" w:rsidRPr="009B70EF" w:rsidRDefault="0018745C" w:rsidP="0018745C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Truall ndërtimor të ndërtuar 1,00.</w:t>
      </w:r>
    </w:p>
    <w:p w:rsidR="0018745C" w:rsidRPr="009B70EF" w:rsidRDefault="0018745C" w:rsidP="0018745C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Truall ndërtimor të pandërtuar 1,50</w:t>
      </w:r>
    </w:p>
    <w:p w:rsidR="0018745C" w:rsidRPr="009B70EF" w:rsidRDefault="0018745C" w:rsidP="0018745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Truall bujqësor, pyjor dhe truall tjetër</w:t>
      </w:r>
    </w:p>
    <w:p w:rsidR="0018745C" w:rsidRPr="009B70EF" w:rsidRDefault="0018745C" w:rsidP="0018745C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Prej I deri në klasën III 1,10</w:t>
      </w:r>
    </w:p>
    <w:p w:rsidR="0018745C" w:rsidRPr="009B70EF" w:rsidRDefault="0018745C" w:rsidP="0018745C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Prej IV deri në klasën</w:t>
      </w:r>
      <w:r w:rsidR="001F7FF3" w:rsidRPr="009B70EF">
        <w:rPr>
          <w:rFonts w:ascii="Garamond" w:hAnsi="Garamond"/>
          <w:lang w:val="sq-AL"/>
        </w:rPr>
        <w:t xml:space="preserve"> VI</w:t>
      </w:r>
      <w:r w:rsidRPr="009B70EF">
        <w:rPr>
          <w:rFonts w:ascii="Garamond" w:hAnsi="Garamond"/>
          <w:lang w:val="sq-AL"/>
        </w:rPr>
        <w:t xml:space="preserve"> 1,00</w:t>
      </w:r>
    </w:p>
    <w:p w:rsidR="0018745C" w:rsidRPr="009B70EF" w:rsidRDefault="0018745C" w:rsidP="0018745C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Përmbi klasën VI 0,90</w:t>
      </w:r>
    </w:p>
    <w:p w:rsidR="0018745C" w:rsidRPr="009B70EF" w:rsidRDefault="0018745C" w:rsidP="0018745C">
      <w:pPr>
        <w:spacing w:line="240" w:lineRule="auto"/>
        <w:ind w:left="4320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Neni 6</w:t>
      </w:r>
    </w:p>
    <w:p w:rsidR="0018745C" w:rsidRPr="009B70EF" w:rsidRDefault="0018745C" w:rsidP="009B70EF">
      <w:pPr>
        <w:spacing w:line="240" w:lineRule="auto"/>
        <w:ind w:firstLine="270"/>
        <w:jc w:val="both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Koeficienti i zvogëlimit për përcaktimin e vlerës së tregut për patundshmëri – objekte ndërtimore, në bazë të vjetërsisë së objektit, rritet për 1% çdo vitë të vjetërsisë së objektit ose për çdo vjetë nga rikonstruksioni i fundit i objektit dhe është 60%.</w:t>
      </w:r>
    </w:p>
    <w:p w:rsidR="0018745C" w:rsidRPr="009B70EF" w:rsidRDefault="0018745C" w:rsidP="0018745C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IV SHKALLA TATIMORE</w:t>
      </w:r>
    </w:p>
    <w:p w:rsidR="00314CA9" w:rsidRPr="009B70EF" w:rsidRDefault="00314CA9" w:rsidP="0018745C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Neni 7</w:t>
      </w:r>
    </w:p>
    <w:p w:rsidR="0018745C" w:rsidRPr="009B70EF" w:rsidRDefault="0018745C" w:rsidP="009B70EF">
      <w:pPr>
        <w:spacing w:line="240" w:lineRule="auto"/>
        <w:ind w:firstLine="270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Shkalla tatimore për patundshmëri aplikohet në vlerën e tregut për patundshmëri të përcaktuar dhe është për:</w:t>
      </w:r>
    </w:p>
    <w:p w:rsidR="0018745C" w:rsidRPr="009B70EF" w:rsidRDefault="0018745C" w:rsidP="0018745C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Objekte ndërtimore:</w:t>
      </w:r>
    </w:p>
    <w:p w:rsidR="0018745C" w:rsidRPr="009B70EF" w:rsidRDefault="0018745C" w:rsidP="0018745C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Objekte banesore dhe apartamente 0,27%</w:t>
      </w:r>
    </w:p>
    <w:p w:rsidR="0018745C" w:rsidRPr="009B70EF" w:rsidRDefault="0018745C" w:rsidP="0018745C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Objekte të biznesit dhe lokale afariste 0,42%</w:t>
      </w:r>
    </w:p>
    <w:p w:rsidR="0018745C" w:rsidRPr="009B70EF" w:rsidRDefault="0018745C" w:rsidP="0018745C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 xml:space="preserve">Objekte </w:t>
      </w:r>
      <w:r w:rsidR="00314CA9" w:rsidRPr="009B70EF">
        <w:rPr>
          <w:rFonts w:ascii="Garamond" w:hAnsi="Garamond"/>
          <w:lang w:val="sq-AL"/>
        </w:rPr>
        <w:t>të prodhimit</w:t>
      </w:r>
      <w:r w:rsidRPr="009B70EF">
        <w:rPr>
          <w:rFonts w:ascii="Garamond" w:hAnsi="Garamond"/>
          <w:lang w:val="sq-AL"/>
        </w:rPr>
        <w:t xml:space="preserve"> (</w:t>
      </w:r>
      <w:r w:rsidR="00314CA9" w:rsidRPr="009B70EF">
        <w:rPr>
          <w:rFonts w:ascii="Garamond" w:hAnsi="Garamond"/>
          <w:lang w:val="sq-AL"/>
        </w:rPr>
        <w:t>sallat dhe lokalet e tjera për kryerjen e aktiviteteve prodhuese)</w:t>
      </w:r>
      <w:r w:rsidR="00FC04D2" w:rsidRPr="009B70EF">
        <w:rPr>
          <w:rFonts w:ascii="Garamond" w:hAnsi="Garamond"/>
          <w:lang w:val="sq-AL"/>
        </w:rPr>
        <w:t xml:space="preserve"> 0,28</w:t>
      </w:r>
      <w:r w:rsidR="008A3A08" w:rsidRPr="009B70EF">
        <w:rPr>
          <w:rFonts w:ascii="Garamond" w:hAnsi="Garamond"/>
          <w:lang w:val="sq-AL"/>
        </w:rPr>
        <w:t>%</w:t>
      </w:r>
    </w:p>
    <w:p w:rsidR="00314CA9" w:rsidRPr="009B70EF" w:rsidRDefault="00314CA9" w:rsidP="0018745C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Vende të shkarkimit</w:t>
      </w:r>
      <w:r w:rsidR="00FC04D2" w:rsidRPr="009B70EF">
        <w:rPr>
          <w:rFonts w:ascii="Garamond" w:hAnsi="Garamond"/>
          <w:lang w:val="sq-AL"/>
        </w:rPr>
        <w:t xml:space="preserve"> 0,32</w:t>
      </w:r>
      <w:r w:rsidR="008A3A08" w:rsidRPr="009B70EF">
        <w:rPr>
          <w:rFonts w:ascii="Garamond" w:hAnsi="Garamond"/>
          <w:lang w:val="sq-AL"/>
        </w:rPr>
        <w:t>%</w:t>
      </w:r>
    </w:p>
    <w:p w:rsidR="00314CA9" w:rsidRPr="009B70EF" w:rsidRDefault="00314CA9" w:rsidP="0018745C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Depo dhe magacina</w:t>
      </w:r>
      <w:r w:rsidR="00FC04D2" w:rsidRPr="009B70EF">
        <w:rPr>
          <w:rFonts w:ascii="Garamond" w:hAnsi="Garamond"/>
          <w:lang w:val="sq-AL"/>
        </w:rPr>
        <w:t xml:space="preserve">  0,30</w:t>
      </w:r>
      <w:r w:rsidR="008A3A08" w:rsidRPr="009B70EF">
        <w:rPr>
          <w:rFonts w:ascii="Garamond" w:hAnsi="Garamond"/>
          <w:lang w:val="sq-AL"/>
        </w:rPr>
        <w:t>%</w:t>
      </w:r>
    </w:p>
    <w:p w:rsidR="00314CA9" w:rsidRPr="009B70EF" w:rsidRDefault="00314CA9" w:rsidP="0018745C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Garazha, vende parkimi, hapsirë jobanesore dhe objekte ndihmëse 0,2</w:t>
      </w:r>
      <w:r w:rsidR="008A3A08" w:rsidRPr="009B70EF">
        <w:rPr>
          <w:rFonts w:ascii="Garamond" w:hAnsi="Garamond"/>
          <w:lang w:val="sq-AL"/>
        </w:rPr>
        <w:t>5</w:t>
      </w:r>
      <w:r w:rsidRPr="009B70EF">
        <w:rPr>
          <w:rFonts w:ascii="Garamond" w:hAnsi="Garamond"/>
          <w:lang w:val="sq-AL"/>
        </w:rPr>
        <w:t>%</w:t>
      </w:r>
    </w:p>
    <w:p w:rsidR="00314CA9" w:rsidRPr="009B70EF" w:rsidRDefault="00314CA9" w:rsidP="0018745C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Objekte në ndërtim 0,25%</w:t>
      </w:r>
    </w:p>
    <w:p w:rsidR="00314CA9" w:rsidRPr="009B70EF" w:rsidRDefault="00314CA9" w:rsidP="0018745C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Objekte të përkohshme të palëvizshme 0,25%</w:t>
      </w:r>
    </w:p>
    <w:p w:rsidR="00314CA9" w:rsidRPr="009B70EF" w:rsidRDefault="00314CA9" w:rsidP="00314CA9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Objekte banesore-afariste 0,30%</w:t>
      </w:r>
    </w:p>
    <w:p w:rsidR="00314CA9" w:rsidRPr="009B70EF" w:rsidRDefault="00314CA9" w:rsidP="00314CA9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Objekte banesore sekundare</w:t>
      </w:r>
      <w:r w:rsidR="008A3A08" w:rsidRPr="009B70EF">
        <w:rPr>
          <w:rFonts w:ascii="Garamond" w:hAnsi="Garamond"/>
          <w:lang w:val="sq-AL"/>
        </w:rPr>
        <w:t xml:space="preserve"> 0,60%</w:t>
      </w:r>
    </w:p>
    <w:p w:rsidR="00314CA9" w:rsidRPr="009B70EF" w:rsidRDefault="00314CA9" w:rsidP="00314CA9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Për objekte të paligjshme me të cilat zgjihet çeshtja e banimit 0,40%</w:t>
      </w:r>
    </w:p>
    <w:p w:rsidR="00314CA9" w:rsidRPr="009B70EF" w:rsidRDefault="00314CA9" w:rsidP="00314CA9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Për objekte të paligjshme me të cilat nuk zgjidhet çeshta e banimit 0,60%</w:t>
      </w:r>
    </w:p>
    <w:p w:rsidR="00314CA9" w:rsidRPr="009B70EF" w:rsidRDefault="00314CA9" w:rsidP="00314CA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Trualli</w:t>
      </w:r>
    </w:p>
    <w:p w:rsidR="00314CA9" w:rsidRPr="009B70EF" w:rsidRDefault="00314CA9" w:rsidP="00314CA9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Ndërtimor 0,50%</w:t>
      </w:r>
    </w:p>
    <w:p w:rsidR="00314CA9" w:rsidRPr="009B70EF" w:rsidRDefault="00314CA9" w:rsidP="00314CA9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Bujqësor 0,29%</w:t>
      </w:r>
    </w:p>
    <w:p w:rsidR="00314CA9" w:rsidRPr="009B70EF" w:rsidRDefault="00314CA9" w:rsidP="00314CA9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Pyjor 0,27%</w:t>
      </w:r>
    </w:p>
    <w:p w:rsidR="00314CA9" w:rsidRPr="009B70EF" w:rsidRDefault="00314CA9" w:rsidP="00314CA9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Të tjera 0,25%</w:t>
      </w:r>
    </w:p>
    <w:p w:rsidR="00314CA9" w:rsidRPr="009B70EF" w:rsidRDefault="00314CA9" w:rsidP="00314CA9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>Truall i pandërtuar ndërtimor</w:t>
      </w:r>
      <w:r w:rsidR="008A3A08" w:rsidRPr="009B70EF">
        <w:rPr>
          <w:rFonts w:ascii="Garamond" w:hAnsi="Garamond"/>
          <w:lang w:val="sq-AL"/>
        </w:rPr>
        <w:t xml:space="preserve"> 0,50%</w:t>
      </w:r>
    </w:p>
    <w:p w:rsidR="00FA305A" w:rsidRDefault="00FA305A" w:rsidP="00314CA9">
      <w:pPr>
        <w:spacing w:line="240" w:lineRule="auto"/>
        <w:jc w:val="center"/>
        <w:rPr>
          <w:rFonts w:ascii="Garamond" w:hAnsi="Garamond"/>
          <w:b/>
          <w:lang w:val="sq-AL"/>
        </w:rPr>
      </w:pPr>
    </w:p>
    <w:p w:rsidR="00FA305A" w:rsidRDefault="00FA305A" w:rsidP="00314CA9">
      <w:pPr>
        <w:spacing w:line="240" w:lineRule="auto"/>
        <w:jc w:val="center"/>
        <w:rPr>
          <w:rFonts w:ascii="Garamond" w:hAnsi="Garamond"/>
          <w:b/>
          <w:lang w:val="sq-AL"/>
        </w:rPr>
      </w:pPr>
    </w:p>
    <w:p w:rsidR="00FA305A" w:rsidRDefault="00FA305A" w:rsidP="00314CA9">
      <w:pPr>
        <w:spacing w:line="240" w:lineRule="auto"/>
        <w:jc w:val="center"/>
        <w:rPr>
          <w:rFonts w:ascii="Garamond" w:hAnsi="Garamond"/>
          <w:b/>
          <w:lang w:val="sq-AL"/>
        </w:rPr>
      </w:pPr>
    </w:p>
    <w:p w:rsidR="00314CA9" w:rsidRPr="009B70EF" w:rsidRDefault="00314CA9" w:rsidP="00314CA9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lastRenderedPageBreak/>
        <w:t>V LEHTËSIMI I TAKSAVE</w:t>
      </w:r>
    </w:p>
    <w:p w:rsidR="0018745C" w:rsidRPr="009B70EF" w:rsidRDefault="00314CA9" w:rsidP="0018745C">
      <w:pPr>
        <w:spacing w:line="240" w:lineRule="auto"/>
        <w:ind w:left="4320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Neni 8</w:t>
      </w:r>
    </w:p>
    <w:p w:rsidR="00F631A6" w:rsidRPr="009B70EF" w:rsidRDefault="00F631A6" w:rsidP="00F631A6">
      <w:p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 xml:space="preserve">       Tatimi në pa</w:t>
      </w:r>
      <w:r w:rsidR="001F7FF3" w:rsidRPr="009B70EF">
        <w:rPr>
          <w:rFonts w:ascii="Garamond" w:hAnsi="Garamond"/>
          <w:lang w:val="sq-AL"/>
        </w:rPr>
        <w:t>tundshmëri për objekte banesore</w:t>
      </w:r>
      <w:r w:rsidRPr="009B70EF">
        <w:rPr>
          <w:rFonts w:ascii="Garamond" w:hAnsi="Garamond"/>
          <w:lang w:val="sq-AL"/>
        </w:rPr>
        <w:t xml:space="preserve"> gjegjësisht apartamente i cili është banues apo vend i objektit të përhershëm, zvogëlohet për 20% për tatimpagues dhe nga 10% për çdo anëtarë të familjes deri në 50% të detyrës tatimore.</w:t>
      </w:r>
    </w:p>
    <w:p w:rsidR="00F631A6" w:rsidRPr="009B70EF" w:rsidRDefault="00F631A6" w:rsidP="00F631A6">
      <w:p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 xml:space="preserve">       Për patundshmëritë në pronësi ose të përdoruara nga një person i regjistruar në regjistrin e prodhuesve </w:t>
      </w:r>
      <w:r w:rsidR="001F7FF3" w:rsidRPr="009B70EF">
        <w:rPr>
          <w:rFonts w:ascii="Garamond" w:hAnsi="Garamond"/>
          <w:lang w:val="sq-AL"/>
        </w:rPr>
        <w:t>b</w:t>
      </w:r>
      <w:r w:rsidRPr="009B70EF">
        <w:rPr>
          <w:rFonts w:ascii="Garamond" w:hAnsi="Garamond"/>
          <w:lang w:val="sq-AL"/>
        </w:rPr>
        <w:t xml:space="preserve">ujqësor, një person juridik dhe një sipërmarrës i angazhuar në prodhimin, përpunimin, paketimin ose përpunimin e produkteve bujqësore të prodhuara në komunën e Tuzit, të cilat përdoren për të kryer këtë veprimtari, shkalla e taksës zvogëlohet në krahasim me shkallën tatimore të përcaktuar në përputhje me nenin 7 të këtij vendimi </w:t>
      </w:r>
      <w:r w:rsidR="008A3A08" w:rsidRPr="009B70EF">
        <w:rPr>
          <w:rFonts w:ascii="Garamond" w:hAnsi="Garamond"/>
          <w:lang w:val="sq-AL"/>
        </w:rPr>
        <w:t xml:space="preserve">20% </w:t>
      </w:r>
      <w:r w:rsidRPr="009B70EF">
        <w:rPr>
          <w:rFonts w:ascii="Garamond" w:hAnsi="Garamond"/>
          <w:lang w:val="sq-AL"/>
        </w:rPr>
        <w:t xml:space="preserve"> të detyr</w:t>
      </w:r>
      <w:r w:rsidR="001F7FF3" w:rsidRPr="009B70EF">
        <w:rPr>
          <w:rFonts w:ascii="Garamond" w:hAnsi="Garamond"/>
          <w:lang w:val="sq-AL"/>
        </w:rPr>
        <w:t xml:space="preserve">ës </w:t>
      </w:r>
      <w:r w:rsidRPr="009B70EF">
        <w:rPr>
          <w:rFonts w:ascii="Garamond" w:hAnsi="Garamond"/>
          <w:lang w:val="sq-AL"/>
        </w:rPr>
        <w:t>tatimor</w:t>
      </w:r>
      <w:r w:rsidR="001F7FF3" w:rsidRPr="009B70EF">
        <w:rPr>
          <w:rFonts w:ascii="Garamond" w:hAnsi="Garamond"/>
          <w:lang w:val="sq-AL"/>
        </w:rPr>
        <w:t>e</w:t>
      </w:r>
      <w:r w:rsidRPr="009B70EF">
        <w:rPr>
          <w:rFonts w:ascii="Garamond" w:hAnsi="Garamond"/>
          <w:lang w:val="sq-AL"/>
        </w:rPr>
        <w:t>.</w:t>
      </w:r>
    </w:p>
    <w:p w:rsidR="009F0DD6" w:rsidRPr="009B70EF" w:rsidRDefault="009F0DD6" w:rsidP="009F0DD6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VI PËRCAKTIMI, PAGESA DHE KONTROLLI I TATIMIT</w:t>
      </w:r>
    </w:p>
    <w:p w:rsidR="00D95E05" w:rsidRPr="009B70EF" w:rsidRDefault="00D95E05" w:rsidP="009F0DD6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Neni 9</w:t>
      </w:r>
    </w:p>
    <w:p w:rsidR="009F0DD6" w:rsidRPr="009B70EF" w:rsidRDefault="009F0DD6" w:rsidP="009F0DD6">
      <w:p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 xml:space="preserve">     Punët e përcaktimit, pagesës dhe kontrollit të tatimit në patundshmëri i kryen Administra</w:t>
      </w:r>
      <w:r w:rsidR="001F7FF3" w:rsidRPr="009B70EF">
        <w:rPr>
          <w:rFonts w:ascii="Garamond" w:hAnsi="Garamond"/>
          <w:lang w:val="sq-AL"/>
        </w:rPr>
        <w:t>t</w:t>
      </w:r>
      <w:r w:rsidRPr="009B70EF">
        <w:rPr>
          <w:rFonts w:ascii="Garamond" w:hAnsi="Garamond"/>
          <w:lang w:val="sq-AL"/>
        </w:rPr>
        <w:t>a e të ardhurave lokale publike e Komunës së Tuzit.</w:t>
      </w:r>
    </w:p>
    <w:p w:rsidR="009F0DD6" w:rsidRPr="009B70EF" w:rsidRDefault="009F0DD6" w:rsidP="009F0DD6">
      <w:pPr>
        <w:spacing w:line="240" w:lineRule="auto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 xml:space="preserve">    Pagesa e mjeteve të tatimit në patundshmëri b</w:t>
      </w:r>
      <w:r w:rsidR="001F7FF3" w:rsidRPr="009B70EF">
        <w:rPr>
          <w:rFonts w:ascii="Garamond" w:hAnsi="Garamond"/>
          <w:lang w:val="sq-AL"/>
        </w:rPr>
        <w:t>ë</w:t>
      </w:r>
      <w:r w:rsidRPr="009B70EF">
        <w:rPr>
          <w:rFonts w:ascii="Garamond" w:hAnsi="Garamond"/>
          <w:lang w:val="sq-AL"/>
        </w:rPr>
        <w:t>het në llogarinë e Buxhetit së Tuzit, në përputhje me Rregullorën për pagesa të të ardhurave publike.</w:t>
      </w:r>
    </w:p>
    <w:p w:rsidR="009F0DD6" w:rsidRPr="009B70EF" w:rsidRDefault="009F0DD6" w:rsidP="009F0DD6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VII FLËTËPARAQITJA TATIMORE</w:t>
      </w:r>
    </w:p>
    <w:p w:rsidR="00D95E05" w:rsidRPr="009B70EF" w:rsidRDefault="00D95E05" w:rsidP="009F0DD6">
      <w:pPr>
        <w:spacing w:line="240" w:lineRule="auto"/>
        <w:jc w:val="center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Neni 10</w:t>
      </w:r>
    </w:p>
    <w:p w:rsidR="009F0DD6" w:rsidRPr="009B70EF" w:rsidRDefault="009F0DD6" w:rsidP="009F0DD6">
      <w:pPr>
        <w:pStyle w:val="NoSpacing"/>
        <w:jc w:val="both"/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</w:pP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      Pronari i patundshmërisë është i obliguar, që në afat prej 30 ditësh nga dita e fitimit të patundshmërisë, të dorëzojë </w:t>
      </w:r>
      <w:r w:rsidR="00A61F24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fletë</w:t>
      </w: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paraqitjen tatimore për përcaktimin e tatimit në patundshmëri, organit tatimor kompetent të administratës për të ardhura lokale publike, në formularin PPN 1, i cili është pjesë përbërese e këtij Vëndimi.</w:t>
      </w:r>
    </w:p>
    <w:p w:rsidR="009F0DD6" w:rsidRPr="009B70EF" w:rsidRDefault="009F0DD6" w:rsidP="009F0DD6">
      <w:pPr>
        <w:pStyle w:val="NoSpacing"/>
        <w:jc w:val="both"/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</w:pP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     Tatimpaguesi në patundshmëri i cili udhëheq libra biznesi është i obliguar që organit nga paragrafi 1 i këtij vendimi, të dorëzojë </w:t>
      </w:r>
      <w:r w:rsidR="00A61F24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fletë</w:t>
      </w: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paraqitjen tatimore për përcaktimin e tatimit deri më 31 mars të vitit kalendarik, në formularin PPN 2 i cili është pjesë përbërese e këtij Vendimi.</w:t>
      </w:r>
    </w:p>
    <w:p w:rsidR="00C85C77" w:rsidRPr="009B70EF" w:rsidRDefault="00C85C77" w:rsidP="009F0DD6">
      <w:pPr>
        <w:pStyle w:val="NoSpacing"/>
        <w:jc w:val="both"/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</w:pP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                                       </w:t>
      </w:r>
    </w:p>
    <w:p w:rsidR="00C85C77" w:rsidRPr="009B70EF" w:rsidRDefault="00C85C77" w:rsidP="009F0DD6">
      <w:pPr>
        <w:pStyle w:val="NoSpacing"/>
        <w:jc w:val="both"/>
        <w:rPr>
          <w:rFonts w:ascii="Garamond" w:hAnsi="Garamond" w:cs="Times New Roman"/>
          <w:i w:val="0"/>
          <w:caps w:val="0"/>
          <w:sz w:val="24"/>
          <w:szCs w:val="24"/>
          <w:lang w:val="sq-AL"/>
        </w:rPr>
      </w:pPr>
      <w:r w:rsidRPr="009B70EF">
        <w:rPr>
          <w:rFonts w:ascii="Garamond" w:hAnsi="Garamond" w:cs="Times New Roman"/>
          <w:i w:val="0"/>
          <w:caps w:val="0"/>
          <w:sz w:val="24"/>
          <w:szCs w:val="24"/>
          <w:lang w:val="sq-AL"/>
        </w:rPr>
        <w:t xml:space="preserve">                                    VIII APLIKIMI I PËRSHTATSHËM I RREGULLAVE</w:t>
      </w:r>
    </w:p>
    <w:p w:rsidR="00B5670E" w:rsidRPr="009B70EF" w:rsidRDefault="00B5670E" w:rsidP="00D95E05">
      <w:pPr>
        <w:pStyle w:val="NoSpacing"/>
        <w:jc w:val="center"/>
        <w:rPr>
          <w:rFonts w:ascii="Garamond" w:hAnsi="Garamond" w:cs="Times New Roman"/>
          <w:i w:val="0"/>
          <w:caps w:val="0"/>
          <w:sz w:val="24"/>
          <w:szCs w:val="24"/>
          <w:lang w:val="sq-AL"/>
        </w:rPr>
      </w:pPr>
    </w:p>
    <w:p w:rsidR="00D95E05" w:rsidRPr="009B70EF" w:rsidRDefault="00D95E05" w:rsidP="00D95E05">
      <w:pPr>
        <w:pStyle w:val="NoSpacing"/>
        <w:jc w:val="center"/>
        <w:rPr>
          <w:rFonts w:ascii="Garamond" w:hAnsi="Garamond" w:cs="Times New Roman"/>
          <w:i w:val="0"/>
          <w:caps w:val="0"/>
          <w:sz w:val="24"/>
          <w:szCs w:val="24"/>
          <w:lang w:val="sq-AL"/>
        </w:rPr>
      </w:pPr>
      <w:r w:rsidRPr="009B70EF">
        <w:rPr>
          <w:rFonts w:ascii="Garamond" w:hAnsi="Garamond" w:cs="Times New Roman"/>
          <w:i w:val="0"/>
          <w:caps w:val="0"/>
          <w:sz w:val="24"/>
          <w:szCs w:val="24"/>
          <w:lang w:val="sq-AL"/>
        </w:rPr>
        <w:t>Neni 11</w:t>
      </w:r>
    </w:p>
    <w:p w:rsidR="00C85C77" w:rsidRPr="009B70EF" w:rsidRDefault="00C85C77" w:rsidP="009F0DD6">
      <w:pPr>
        <w:pStyle w:val="NoSpacing"/>
        <w:jc w:val="both"/>
        <w:rPr>
          <w:rFonts w:ascii="Garamond" w:hAnsi="Garamond" w:cs="Times New Roman"/>
          <w:i w:val="0"/>
          <w:caps w:val="0"/>
          <w:sz w:val="24"/>
          <w:szCs w:val="24"/>
          <w:lang w:val="sq-AL"/>
        </w:rPr>
      </w:pPr>
    </w:p>
    <w:p w:rsidR="00C85C77" w:rsidRPr="009B70EF" w:rsidRDefault="00C85C77" w:rsidP="00C85C77">
      <w:pPr>
        <w:pStyle w:val="NoSpacing"/>
        <w:jc w:val="both"/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</w:pP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    Procedura për përcaktimin, mbledhjen dhe kontrollin e taksave të pasurive të patundshme</w:t>
      </w:r>
      <w:r w:rsidR="00A61F24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, ankesat, inspektimi, mbledhja</w:t>
      </w: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 e detyruar, etj. </w:t>
      </w:r>
      <w:r w:rsidR="00A61F24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e </w:t>
      </w:r>
      <w:r w:rsidR="00D95E05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të cilat nuk jan</w:t>
      </w:r>
      <w:r w:rsidR="00A61F24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ë </w:t>
      </w:r>
      <w:r w:rsidR="00D95E05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të të</w:t>
      </w: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 rregulluar me</w:t>
      </w:r>
      <w:r w:rsidR="001F7FF3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 dispozitat e </w:t>
      </w: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 Ligjin mbi patundshmërin, </w:t>
      </w:r>
      <w:r w:rsidR="00A61F24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do të </w:t>
      </w:r>
      <w:r w:rsidR="001F7FF3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rregullohen</w:t>
      </w: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 </w:t>
      </w:r>
      <w:r w:rsidR="00D95E05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dispozitat e Ligjit mbi administratën tatimore</w:t>
      </w: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.</w:t>
      </w:r>
    </w:p>
    <w:p w:rsidR="00C85C77" w:rsidRPr="009B70EF" w:rsidRDefault="00C85C77" w:rsidP="009F0DD6">
      <w:pPr>
        <w:pStyle w:val="NoSpacing"/>
        <w:jc w:val="both"/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</w:pP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   Të gjitha çë</w:t>
      </w:r>
      <w:r w:rsidR="00D95E05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shtjet që kanë të bëjnë me tatimin</w:t>
      </w: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, tatimpaguesit, </w:t>
      </w:r>
      <w:r w:rsidR="00D95E05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bazën tatimore</w:t>
      </w: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, përjashtimet, lehtësimet dhe dispozitat penale që nuk rregullohen me këtë </w:t>
      </w:r>
      <w:r w:rsidR="00D95E05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V</w:t>
      </w:r>
      <w:r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endim do të rregullohen </w:t>
      </w:r>
      <w:r w:rsidR="00D95E05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 xml:space="preserve">me dispozitat e Ligjit </w:t>
      </w:r>
      <w:r w:rsidR="00A61F24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për tatim në patundshmëri</w:t>
      </w:r>
      <w:r w:rsidR="00D95E05" w:rsidRPr="009B70EF"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  <w:t>.</w:t>
      </w:r>
    </w:p>
    <w:p w:rsidR="00D95E05" w:rsidRPr="009B70EF" w:rsidRDefault="00D95E05" w:rsidP="009F0DD6">
      <w:pPr>
        <w:pStyle w:val="NoSpacing"/>
        <w:jc w:val="both"/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</w:pPr>
    </w:p>
    <w:p w:rsidR="009B70EF" w:rsidRDefault="009B70EF" w:rsidP="00D95E05">
      <w:pPr>
        <w:pStyle w:val="NoSpacing"/>
        <w:jc w:val="center"/>
        <w:rPr>
          <w:rFonts w:ascii="Garamond" w:hAnsi="Garamond" w:cs="Times New Roman"/>
          <w:i w:val="0"/>
          <w:caps w:val="0"/>
          <w:sz w:val="24"/>
          <w:szCs w:val="24"/>
          <w:lang w:val="sq-AL"/>
        </w:rPr>
      </w:pPr>
    </w:p>
    <w:p w:rsidR="00FA305A" w:rsidRDefault="00FA305A" w:rsidP="00D95E05">
      <w:pPr>
        <w:pStyle w:val="NoSpacing"/>
        <w:jc w:val="center"/>
        <w:rPr>
          <w:rFonts w:ascii="Garamond" w:hAnsi="Garamond" w:cs="Times New Roman"/>
          <w:i w:val="0"/>
          <w:caps w:val="0"/>
          <w:sz w:val="24"/>
          <w:szCs w:val="24"/>
          <w:lang w:val="sq-AL"/>
        </w:rPr>
      </w:pPr>
    </w:p>
    <w:p w:rsidR="00FA305A" w:rsidRPr="009B70EF" w:rsidRDefault="00FA305A" w:rsidP="00D95E05">
      <w:pPr>
        <w:pStyle w:val="NoSpacing"/>
        <w:jc w:val="center"/>
        <w:rPr>
          <w:rFonts w:ascii="Garamond" w:hAnsi="Garamond" w:cs="Times New Roman"/>
          <w:i w:val="0"/>
          <w:caps w:val="0"/>
          <w:sz w:val="24"/>
          <w:szCs w:val="24"/>
          <w:lang w:val="sq-AL"/>
        </w:rPr>
      </w:pPr>
    </w:p>
    <w:p w:rsidR="00D95E05" w:rsidRPr="009B70EF" w:rsidRDefault="00D95E05" w:rsidP="00D95E05">
      <w:pPr>
        <w:pStyle w:val="NoSpacing"/>
        <w:jc w:val="center"/>
        <w:rPr>
          <w:rFonts w:ascii="Garamond" w:hAnsi="Garamond" w:cs="Times New Roman"/>
          <w:i w:val="0"/>
          <w:caps w:val="0"/>
          <w:sz w:val="24"/>
          <w:szCs w:val="24"/>
          <w:lang w:val="sq-AL"/>
        </w:rPr>
      </w:pPr>
      <w:r w:rsidRPr="009B70EF">
        <w:rPr>
          <w:rFonts w:ascii="Garamond" w:hAnsi="Garamond" w:cs="Times New Roman"/>
          <w:i w:val="0"/>
          <w:caps w:val="0"/>
          <w:sz w:val="24"/>
          <w:szCs w:val="24"/>
          <w:lang w:val="sq-AL"/>
        </w:rPr>
        <w:lastRenderedPageBreak/>
        <w:t>IX DISPOZITAT PËRFUNDIMTARE</w:t>
      </w:r>
    </w:p>
    <w:p w:rsidR="009F0DD6" w:rsidRPr="009B70EF" w:rsidRDefault="009F0DD6" w:rsidP="009F0DD6">
      <w:pPr>
        <w:pStyle w:val="NoSpacing"/>
        <w:jc w:val="both"/>
        <w:rPr>
          <w:rFonts w:ascii="Garamond" w:hAnsi="Garamond" w:cs="Times New Roman"/>
          <w:b w:val="0"/>
          <w:i w:val="0"/>
          <w:caps w:val="0"/>
          <w:sz w:val="24"/>
          <w:szCs w:val="24"/>
          <w:lang w:val="sq-AL"/>
        </w:rPr>
      </w:pPr>
    </w:p>
    <w:p w:rsidR="009F0DD6" w:rsidRPr="009B70EF" w:rsidRDefault="00D95E05" w:rsidP="009F0DD6">
      <w:pPr>
        <w:spacing w:line="240" w:lineRule="auto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lang w:val="sq-AL"/>
        </w:rPr>
        <w:tab/>
      </w:r>
      <w:r w:rsidRPr="009B70EF">
        <w:rPr>
          <w:rFonts w:ascii="Garamond" w:hAnsi="Garamond"/>
          <w:lang w:val="sq-AL"/>
        </w:rPr>
        <w:tab/>
      </w:r>
      <w:r w:rsidRPr="009B70EF">
        <w:rPr>
          <w:rFonts w:ascii="Garamond" w:hAnsi="Garamond"/>
          <w:lang w:val="sq-AL"/>
        </w:rPr>
        <w:tab/>
      </w:r>
      <w:r w:rsidRPr="009B70EF">
        <w:rPr>
          <w:rFonts w:ascii="Garamond" w:hAnsi="Garamond"/>
          <w:lang w:val="sq-AL"/>
        </w:rPr>
        <w:tab/>
      </w:r>
      <w:r w:rsidRPr="009B70EF">
        <w:rPr>
          <w:rFonts w:ascii="Garamond" w:hAnsi="Garamond"/>
          <w:lang w:val="sq-AL"/>
        </w:rPr>
        <w:tab/>
      </w:r>
      <w:r w:rsidRPr="009B70EF">
        <w:rPr>
          <w:rFonts w:ascii="Garamond" w:hAnsi="Garamond"/>
          <w:lang w:val="sq-AL"/>
        </w:rPr>
        <w:tab/>
      </w:r>
      <w:r w:rsidRPr="009B70EF">
        <w:rPr>
          <w:rFonts w:ascii="Garamond" w:hAnsi="Garamond"/>
          <w:b/>
          <w:lang w:val="sq-AL"/>
        </w:rPr>
        <w:t>Neni 12</w:t>
      </w:r>
    </w:p>
    <w:p w:rsidR="00D95E05" w:rsidRPr="009B70EF" w:rsidRDefault="00D95E05" w:rsidP="00D95E05">
      <w:pPr>
        <w:autoSpaceDE w:val="0"/>
        <w:autoSpaceDN w:val="0"/>
        <w:adjustRightInd w:val="0"/>
        <w:spacing w:before="60" w:after="60" w:line="240" w:lineRule="auto"/>
        <w:ind w:firstLine="284"/>
        <w:jc w:val="both"/>
        <w:rPr>
          <w:rFonts w:ascii="Garamond" w:eastAsia="Calibri" w:hAnsi="Garamond"/>
          <w:color w:val="000000"/>
          <w:lang w:val="sq-AL" w:eastAsia="sr-Latn-CS"/>
        </w:rPr>
      </w:pPr>
      <w:r w:rsidRPr="009B70EF">
        <w:rPr>
          <w:rFonts w:ascii="Garamond" w:eastAsia="Calibri" w:hAnsi="Garamond"/>
          <w:color w:val="000000"/>
          <w:lang w:val="sq-AL" w:eastAsia="sr-Latn-CS"/>
        </w:rPr>
        <w:t xml:space="preserve">Me hyrje në fuqi të këtij </w:t>
      </w:r>
      <w:r w:rsidR="001F7FF3" w:rsidRPr="009B70EF">
        <w:rPr>
          <w:rFonts w:ascii="Garamond" w:eastAsia="Calibri" w:hAnsi="Garamond"/>
          <w:color w:val="000000"/>
          <w:lang w:val="sq-AL" w:eastAsia="sr-Latn-CS"/>
        </w:rPr>
        <w:t>V</w:t>
      </w:r>
      <w:r w:rsidRPr="009B70EF">
        <w:rPr>
          <w:rFonts w:ascii="Garamond" w:eastAsia="Calibri" w:hAnsi="Garamond"/>
          <w:color w:val="000000"/>
          <w:lang w:val="sq-AL" w:eastAsia="sr-Latn-CS"/>
        </w:rPr>
        <w:t xml:space="preserve">endimi ndalohet përdorimi i Vendimit </w:t>
      </w:r>
      <w:r w:rsidR="00A61F24" w:rsidRPr="009B70EF">
        <w:rPr>
          <w:rFonts w:ascii="Garamond" w:eastAsia="Calibri" w:hAnsi="Garamond"/>
          <w:color w:val="000000"/>
          <w:lang w:val="sq-AL" w:eastAsia="sr-Latn-CS"/>
        </w:rPr>
        <w:t>për</w:t>
      </w:r>
      <w:r w:rsidRPr="009B70EF">
        <w:rPr>
          <w:rFonts w:ascii="Garamond" w:eastAsia="Calibri" w:hAnsi="Garamond"/>
          <w:color w:val="000000"/>
          <w:lang w:val="sq-AL" w:eastAsia="sr-Latn-CS"/>
        </w:rPr>
        <w:t xml:space="preserve"> </w:t>
      </w:r>
      <w:r w:rsidRPr="009B70EF">
        <w:rPr>
          <w:rFonts w:ascii="Garamond" w:hAnsi="Garamond"/>
          <w:color w:val="000000"/>
          <w:lang w:val="sq-AL" w:eastAsia="sr-Latn-CS"/>
        </w:rPr>
        <w:t>tatimin në patundshmëri</w:t>
      </w:r>
      <w:r w:rsidRPr="009B70EF">
        <w:rPr>
          <w:rFonts w:ascii="Garamond" w:eastAsia="Calibri" w:hAnsi="Garamond"/>
          <w:color w:val="000000"/>
          <w:lang w:val="sq-AL" w:eastAsia="sr-Latn-CS"/>
        </w:rPr>
        <w:t xml:space="preserve"> ("Fleta zyrtare- dispozitat komunale", numër </w:t>
      </w:r>
      <w:r w:rsidRPr="009B70EF">
        <w:rPr>
          <w:rFonts w:ascii="Garamond" w:hAnsi="Garamond"/>
          <w:color w:val="000000"/>
          <w:lang w:val="sq-AL" w:eastAsia="sr-Latn-CS"/>
        </w:rPr>
        <w:t>42</w:t>
      </w:r>
      <w:r w:rsidRPr="009B70EF">
        <w:rPr>
          <w:rFonts w:ascii="Garamond" w:eastAsia="Calibri" w:hAnsi="Garamond"/>
          <w:color w:val="000000"/>
          <w:lang w:val="sq-AL" w:eastAsia="sr-Latn-CS"/>
        </w:rPr>
        <w:t xml:space="preserve">/18). </w:t>
      </w:r>
    </w:p>
    <w:p w:rsidR="00D95E05" w:rsidRPr="009B70EF" w:rsidRDefault="00AD4C33" w:rsidP="00AD4C33">
      <w:pPr>
        <w:spacing w:line="240" w:lineRule="auto"/>
        <w:jc w:val="both"/>
        <w:rPr>
          <w:rFonts w:ascii="Garamond" w:hAnsi="Garamond"/>
          <w:lang w:val="sq-AL"/>
        </w:rPr>
      </w:pPr>
      <w:r w:rsidRPr="009B70EF">
        <w:rPr>
          <w:rFonts w:ascii="Garamond" w:hAnsi="Garamond"/>
          <w:lang w:val="sq-AL"/>
        </w:rPr>
        <w:t xml:space="preserve">     Procedurat për përcaktimin e </w:t>
      </w:r>
      <w:r w:rsidR="00531AFC" w:rsidRPr="009B70EF">
        <w:rPr>
          <w:rFonts w:ascii="Garamond" w:hAnsi="Garamond"/>
          <w:lang w:val="sq-AL"/>
        </w:rPr>
        <w:t>tatimit në patundshmëri</w:t>
      </w:r>
      <w:r w:rsidRPr="009B70EF">
        <w:rPr>
          <w:rFonts w:ascii="Garamond" w:hAnsi="Garamond"/>
          <w:lang w:val="sq-AL"/>
        </w:rPr>
        <w:t xml:space="preserve"> të cilat nuk janë përfunduar deri në datën e hyrjes në fuqi të këtij vendimi, do të përfundo</w:t>
      </w:r>
      <w:r w:rsidR="00531AFC" w:rsidRPr="009B70EF">
        <w:rPr>
          <w:rFonts w:ascii="Garamond" w:hAnsi="Garamond"/>
          <w:lang w:val="sq-AL"/>
        </w:rPr>
        <w:t>hen</w:t>
      </w:r>
      <w:r w:rsidRPr="009B70EF">
        <w:rPr>
          <w:rFonts w:ascii="Garamond" w:hAnsi="Garamond"/>
          <w:lang w:val="sq-AL"/>
        </w:rPr>
        <w:t xml:space="preserve"> në përputhje me dispozitat e Vendimit </w:t>
      </w:r>
      <w:r w:rsidR="00531AFC" w:rsidRPr="009B70EF">
        <w:rPr>
          <w:rFonts w:ascii="Garamond" w:hAnsi="Garamond"/>
          <w:lang w:val="sq-AL"/>
        </w:rPr>
        <w:t xml:space="preserve">i cili ishte </w:t>
      </w:r>
      <w:r w:rsidRPr="009B70EF">
        <w:rPr>
          <w:rFonts w:ascii="Garamond" w:hAnsi="Garamond"/>
          <w:lang w:val="sq-AL"/>
        </w:rPr>
        <w:t>në fuqi në kohën e fillimit të procedurës.</w:t>
      </w:r>
    </w:p>
    <w:p w:rsidR="00D95E05" w:rsidRPr="009B70EF" w:rsidRDefault="00D95E05" w:rsidP="00D95E05">
      <w:pPr>
        <w:spacing w:line="240" w:lineRule="auto"/>
        <w:ind w:left="3600" w:firstLine="720"/>
        <w:rPr>
          <w:rFonts w:ascii="Garamond" w:hAnsi="Garamond"/>
          <w:b/>
          <w:lang w:val="sq-AL"/>
        </w:rPr>
      </w:pPr>
      <w:r w:rsidRPr="009B70EF">
        <w:rPr>
          <w:rFonts w:ascii="Garamond" w:hAnsi="Garamond"/>
          <w:b/>
          <w:lang w:val="sq-AL"/>
        </w:rPr>
        <w:t>Neni 13</w:t>
      </w:r>
    </w:p>
    <w:p w:rsidR="00D95E05" w:rsidRPr="009B70EF" w:rsidRDefault="00D95E05" w:rsidP="00D9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/>
          <w:lang w:val="sq-AL" w:eastAsia="sr-Cyrl-CS"/>
        </w:rPr>
      </w:pPr>
      <w:r w:rsidRPr="009B70EF">
        <w:rPr>
          <w:rFonts w:ascii="Garamond" w:eastAsia="Calibri" w:hAnsi="Garamond"/>
          <w:color w:val="000000"/>
          <w:lang w:val="sq-AL" w:eastAsia="sr-Cyrl-CS"/>
        </w:rPr>
        <w:t>Ky vendim hynë në fuqi ditën e tetë nga dita e publikimit në "Fletën zyrtare të MZ – dispozitat komunale</w:t>
      </w:r>
      <w:r w:rsidRPr="009B70EF">
        <w:rPr>
          <w:rFonts w:ascii="Garamond" w:hAnsi="Garamond"/>
          <w:lang w:val="sq-AL" w:eastAsia="sr-Cyrl-CS"/>
        </w:rPr>
        <w:t xml:space="preserve">" dhe do të aplikohet </w:t>
      </w:r>
      <w:r w:rsidR="00AD4C33" w:rsidRPr="009B70EF">
        <w:rPr>
          <w:rFonts w:ascii="Garamond" w:hAnsi="Garamond"/>
          <w:lang w:val="sq-AL" w:eastAsia="sr-Cyrl-CS"/>
        </w:rPr>
        <w:t>nga data 01.01.2020.</w:t>
      </w:r>
    </w:p>
    <w:p w:rsidR="00AD4C33" w:rsidRPr="009B70EF" w:rsidRDefault="00AD4C33" w:rsidP="00D9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lang w:val="sq-AL" w:eastAsia="sr-Cyrl-CS"/>
        </w:rPr>
      </w:pPr>
    </w:p>
    <w:p w:rsidR="00AD4C33" w:rsidRPr="009B70EF" w:rsidRDefault="00AD4C33" w:rsidP="00D9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b/>
          <w:lang w:val="sq-AL" w:eastAsia="sr-Cyrl-CS"/>
        </w:rPr>
      </w:pPr>
      <w:r w:rsidRPr="009B70EF">
        <w:rPr>
          <w:rFonts w:ascii="Garamond" w:hAnsi="Garamond" w:cs="Calibri"/>
          <w:b/>
          <w:lang w:val="sq-AL" w:eastAsia="sr-Cyrl-CS"/>
        </w:rPr>
        <w:t xml:space="preserve">Numër: </w:t>
      </w:r>
      <w:r w:rsidR="008A3A08" w:rsidRPr="009B70EF">
        <w:rPr>
          <w:rFonts w:ascii="Garamond" w:hAnsi="Garamond" w:cs="Calibri"/>
          <w:b/>
          <w:lang w:val="sq-AL" w:eastAsia="sr-Cyrl-CS"/>
        </w:rPr>
        <w:t>02-030/19-</w:t>
      </w:r>
    </w:p>
    <w:p w:rsidR="00AD4C33" w:rsidRPr="009B70EF" w:rsidRDefault="00AD4C33" w:rsidP="00D9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b/>
          <w:lang w:val="sq-AL" w:eastAsia="sr-Cyrl-CS"/>
        </w:rPr>
      </w:pPr>
      <w:r w:rsidRPr="009B70EF">
        <w:rPr>
          <w:rFonts w:ascii="Garamond" w:hAnsi="Garamond" w:cs="Calibri"/>
          <w:b/>
          <w:lang w:val="sq-AL" w:eastAsia="sr-Cyrl-CS"/>
        </w:rPr>
        <w:t>Tuz,</w:t>
      </w:r>
    </w:p>
    <w:p w:rsidR="00AD4C33" w:rsidRPr="009B70EF" w:rsidRDefault="00AD4C33" w:rsidP="00D9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lang w:val="sq-AL" w:eastAsia="sr-Cyrl-CS"/>
        </w:rPr>
      </w:pPr>
    </w:p>
    <w:p w:rsidR="00AD4C33" w:rsidRPr="009B70EF" w:rsidRDefault="00AD4C33" w:rsidP="00D9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lang w:val="sq-AL" w:eastAsia="sr-Cyrl-CS"/>
        </w:rPr>
      </w:pPr>
    </w:p>
    <w:p w:rsidR="00AD4C33" w:rsidRPr="009B70EF" w:rsidRDefault="00AD4C33" w:rsidP="00AD4C3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/>
          <w:lang w:val="sq-AL" w:eastAsia="sr-Cyrl-CS"/>
        </w:rPr>
      </w:pPr>
      <w:r w:rsidRPr="009B70EF">
        <w:rPr>
          <w:rFonts w:ascii="Garamond" w:hAnsi="Garamond" w:cs="Calibri"/>
          <w:b/>
          <w:lang w:val="sq-AL" w:eastAsia="sr-Cyrl-CS"/>
        </w:rPr>
        <w:t>Kuvendi i Komunës së Tuzit</w:t>
      </w:r>
    </w:p>
    <w:p w:rsidR="00AD4C33" w:rsidRPr="009B70EF" w:rsidRDefault="00AD4C33" w:rsidP="00AD4C3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/>
          <w:lang w:val="sq-AL" w:eastAsia="sr-Cyrl-CS"/>
        </w:rPr>
      </w:pPr>
      <w:r w:rsidRPr="009B70EF">
        <w:rPr>
          <w:rFonts w:ascii="Garamond" w:hAnsi="Garamond" w:cs="Calibri"/>
          <w:b/>
          <w:lang w:val="sq-AL" w:eastAsia="sr-Cyrl-CS"/>
        </w:rPr>
        <w:t>Kryetar</w:t>
      </w:r>
      <w:r w:rsidR="00786669">
        <w:rPr>
          <w:rFonts w:ascii="Garamond" w:hAnsi="Garamond" w:cs="Calibri"/>
          <w:b/>
          <w:lang w:val="sq-AL" w:eastAsia="sr-Cyrl-CS"/>
        </w:rPr>
        <w:t xml:space="preserve">i, </w:t>
      </w:r>
    </w:p>
    <w:p w:rsidR="00AD4C33" w:rsidRPr="009B70EF" w:rsidRDefault="00AD4C33" w:rsidP="00AD4C3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eastAsia="Calibri" w:hAnsi="Garamond" w:cs="Calibri"/>
          <w:b/>
          <w:color w:val="000000"/>
          <w:lang w:val="sq-AL" w:eastAsia="sr-Cyrl-CS"/>
        </w:rPr>
      </w:pPr>
      <w:r w:rsidRPr="009B70EF">
        <w:rPr>
          <w:rFonts w:ascii="Garamond" w:hAnsi="Garamond" w:cs="Calibri"/>
          <w:b/>
          <w:lang w:val="sq-AL" w:eastAsia="sr-Cyrl-CS"/>
        </w:rPr>
        <w:t>Fadil Kajoshaj</w:t>
      </w:r>
    </w:p>
    <w:p w:rsidR="00D95E05" w:rsidRDefault="00D95E05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Default="007141A2" w:rsidP="00D95E05">
      <w:pPr>
        <w:spacing w:line="240" w:lineRule="auto"/>
        <w:rPr>
          <w:rFonts w:ascii="Garamond" w:hAnsi="Garamond"/>
          <w:b/>
          <w:lang w:val="sq-AL"/>
        </w:rPr>
      </w:pPr>
    </w:p>
    <w:p w:rsidR="007141A2" w:rsidRPr="00156E88" w:rsidRDefault="007141A2" w:rsidP="007141A2">
      <w:pPr>
        <w:jc w:val="center"/>
        <w:rPr>
          <w:rFonts w:ascii="Garamond" w:hAnsi="Garamond"/>
          <w:b/>
        </w:rPr>
      </w:pPr>
      <w:r w:rsidRPr="00156E88">
        <w:rPr>
          <w:rFonts w:ascii="Garamond" w:hAnsi="Garamond"/>
          <w:b/>
        </w:rPr>
        <w:lastRenderedPageBreak/>
        <w:t>A R S Y E T I M</w:t>
      </w:r>
    </w:p>
    <w:p w:rsidR="007141A2" w:rsidRPr="00156E88" w:rsidRDefault="007141A2" w:rsidP="007141A2">
      <w:pPr>
        <w:jc w:val="both"/>
        <w:rPr>
          <w:rFonts w:ascii="Garamond" w:hAnsi="Garamond"/>
        </w:rPr>
      </w:pPr>
      <w:bookmarkStart w:id="0" w:name="_GoBack"/>
      <w:bookmarkEnd w:id="0"/>
      <w:proofErr w:type="spellStart"/>
      <w:r w:rsidRPr="00156E88">
        <w:rPr>
          <w:rFonts w:ascii="Garamond" w:hAnsi="Garamond"/>
          <w:b/>
        </w:rPr>
        <w:t>Baza</w:t>
      </w:r>
      <w:proofErr w:type="spellEnd"/>
      <w:r w:rsidRPr="00156E88">
        <w:rPr>
          <w:rFonts w:ascii="Garamond" w:hAnsi="Garamond"/>
          <w:b/>
        </w:rPr>
        <w:t xml:space="preserve"> </w:t>
      </w:r>
      <w:proofErr w:type="spellStart"/>
      <w:r w:rsidRPr="00156E88">
        <w:rPr>
          <w:rFonts w:ascii="Garamond" w:hAnsi="Garamond"/>
          <w:b/>
        </w:rPr>
        <w:t>Ligjore</w:t>
      </w:r>
      <w:proofErr w:type="spellEnd"/>
      <w:r w:rsidRPr="00156E88">
        <w:rPr>
          <w:rFonts w:ascii="Garamond" w:hAnsi="Garamond"/>
          <w:b/>
        </w:rPr>
        <w:t xml:space="preserve"> </w:t>
      </w:r>
      <w:proofErr w:type="spellStart"/>
      <w:r w:rsidRPr="00156E88">
        <w:rPr>
          <w:rFonts w:ascii="Garamond" w:hAnsi="Garamond"/>
        </w:rPr>
        <w:t>për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sjelljen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këtij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Vendimi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mbi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tatimin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mbështetet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dispozitat</w:t>
      </w:r>
      <w:proofErr w:type="spellEnd"/>
      <w:r w:rsidRPr="00156E88">
        <w:rPr>
          <w:rFonts w:ascii="Garamond" w:hAnsi="Garamond"/>
        </w:rPr>
        <w:t xml:space="preserve"> e:</w:t>
      </w:r>
    </w:p>
    <w:p w:rsidR="007141A2" w:rsidRPr="00156E88" w:rsidRDefault="007141A2" w:rsidP="007141A2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</w:rPr>
      </w:pPr>
      <w:proofErr w:type="spellStart"/>
      <w:r w:rsidRPr="00156E88">
        <w:rPr>
          <w:rFonts w:ascii="Garamond" w:hAnsi="Garamond"/>
        </w:rPr>
        <w:t>Nenit</w:t>
      </w:r>
      <w:proofErr w:type="spellEnd"/>
      <w:r w:rsidRPr="00156E88">
        <w:rPr>
          <w:rFonts w:ascii="Garamond" w:hAnsi="Garamond"/>
        </w:rPr>
        <w:t xml:space="preserve"> 38 </w:t>
      </w:r>
      <w:proofErr w:type="spellStart"/>
      <w:r w:rsidRPr="00156E88">
        <w:rPr>
          <w:rFonts w:ascii="Garamond" w:hAnsi="Garamond"/>
        </w:rPr>
        <w:t>paragrafit</w:t>
      </w:r>
      <w:proofErr w:type="spellEnd"/>
      <w:r w:rsidRPr="00156E88">
        <w:rPr>
          <w:rFonts w:ascii="Garamond" w:hAnsi="Garamond"/>
        </w:rPr>
        <w:t xml:space="preserve"> 1 </w:t>
      </w:r>
      <w:proofErr w:type="spellStart"/>
      <w:r w:rsidRPr="00156E88">
        <w:rPr>
          <w:rFonts w:ascii="Garamond" w:hAnsi="Garamond"/>
        </w:rPr>
        <w:t>pikës</w:t>
      </w:r>
      <w:proofErr w:type="spellEnd"/>
      <w:r w:rsidRPr="00156E88">
        <w:rPr>
          <w:rFonts w:ascii="Garamond" w:hAnsi="Garamond"/>
        </w:rPr>
        <w:t xml:space="preserve"> 2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Ligjit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mbi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vetëqeverisjen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lokale</w:t>
      </w:r>
      <w:proofErr w:type="spellEnd"/>
      <w:r w:rsidRPr="00156E88">
        <w:rPr>
          <w:rFonts w:ascii="Garamond" w:hAnsi="Garamond"/>
        </w:rPr>
        <w:t xml:space="preserve"> (“Fleta </w:t>
      </w:r>
      <w:proofErr w:type="spellStart"/>
      <w:r w:rsidRPr="00156E88">
        <w:rPr>
          <w:rFonts w:ascii="Garamond" w:hAnsi="Garamond"/>
        </w:rPr>
        <w:t>Zyrtare</w:t>
      </w:r>
      <w:proofErr w:type="spellEnd"/>
      <w:r w:rsidRPr="00156E88">
        <w:rPr>
          <w:rFonts w:ascii="Garamond" w:hAnsi="Garamond"/>
        </w:rPr>
        <w:t xml:space="preserve"> MZ” </w:t>
      </w:r>
      <w:proofErr w:type="spellStart"/>
      <w:r w:rsidRPr="00156E88">
        <w:rPr>
          <w:rFonts w:ascii="Garamond" w:hAnsi="Garamond"/>
        </w:rPr>
        <w:t>numër</w:t>
      </w:r>
      <w:proofErr w:type="spellEnd"/>
      <w:r w:rsidRPr="00156E88">
        <w:rPr>
          <w:rFonts w:ascii="Garamond" w:hAnsi="Garamond"/>
        </w:rPr>
        <w:t xml:space="preserve"> 2/18), me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cilin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paraparë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Kuvendi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sjellë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rregulloret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dhe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aktet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tjera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përgjithshme</w:t>
      </w:r>
      <w:proofErr w:type="spellEnd"/>
      <w:r w:rsidRPr="00156E88">
        <w:rPr>
          <w:rFonts w:ascii="Garamond" w:hAnsi="Garamond"/>
        </w:rPr>
        <w:t>;</w:t>
      </w:r>
    </w:p>
    <w:p w:rsidR="007141A2" w:rsidRPr="00156E88" w:rsidRDefault="007141A2" w:rsidP="007141A2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</w:rPr>
      </w:pPr>
      <w:proofErr w:type="spellStart"/>
      <w:r w:rsidRPr="00156E88">
        <w:rPr>
          <w:rFonts w:ascii="Garamond" w:hAnsi="Garamond"/>
        </w:rPr>
        <w:t>Neni</w:t>
      </w:r>
      <w:proofErr w:type="spellEnd"/>
      <w:r w:rsidRPr="00156E88">
        <w:rPr>
          <w:rFonts w:ascii="Garamond" w:hAnsi="Garamond"/>
        </w:rPr>
        <w:t xml:space="preserve"> 1 </w:t>
      </w:r>
      <w:proofErr w:type="spellStart"/>
      <w:r w:rsidRPr="00156E88">
        <w:rPr>
          <w:rFonts w:ascii="Garamond" w:hAnsi="Garamond"/>
        </w:rPr>
        <w:t>paragrafi</w:t>
      </w:r>
      <w:proofErr w:type="spellEnd"/>
      <w:r w:rsidRPr="00156E88">
        <w:rPr>
          <w:rFonts w:ascii="Garamond" w:hAnsi="Garamond"/>
        </w:rPr>
        <w:t xml:space="preserve"> 2 </w:t>
      </w:r>
      <w:proofErr w:type="spellStart"/>
      <w:r w:rsidRPr="00156E88">
        <w:rPr>
          <w:rFonts w:ascii="Garamond" w:hAnsi="Garamond"/>
        </w:rPr>
        <w:t>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Ligjit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mbi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tatimin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</w:t>
      </w:r>
      <w:proofErr w:type="spellEnd"/>
      <w:r w:rsidRPr="00156E88">
        <w:rPr>
          <w:rFonts w:ascii="Garamond" w:hAnsi="Garamond"/>
        </w:rPr>
        <w:t xml:space="preserve"> (“Fleta </w:t>
      </w:r>
      <w:proofErr w:type="spellStart"/>
      <w:r w:rsidRPr="00156E88">
        <w:rPr>
          <w:rFonts w:ascii="Garamond" w:hAnsi="Garamond"/>
        </w:rPr>
        <w:t>Zyrtare</w:t>
      </w:r>
      <w:proofErr w:type="spellEnd"/>
      <w:r w:rsidRPr="00156E88">
        <w:rPr>
          <w:rFonts w:ascii="Garamond" w:hAnsi="Garamond"/>
        </w:rPr>
        <w:t xml:space="preserve"> e MZ”, nr 25/19) me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cilin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paraparë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tatimin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bën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njësia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vetëqeverisjes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lokale</w:t>
      </w:r>
      <w:proofErr w:type="spellEnd"/>
      <w:r w:rsidRPr="00156E88">
        <w:rPr>
          <w:rFonts w:ascii="Garamond" w:hAnsi="Garamond"/>
        </w:rPr>
        <w:t xml:space="preserve"> me </w:t>
      </w:r>
      <w:proofErr w:type="spellStart"/>
      <w:r w:rsidRPr="00156E88">
        <w:rPr>
          <w:rFonts w:ascii="Garamond" w:hAnsi="Garamond"/>
        </w:rPr>
        <w:t>rregullore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saj</w:t>
      </w:r>
      <w:proofErr w:type="spellEnd"/>
      <w:r w:rsidRPr="00156E88">
        <w:rPr>
          <w:rFonts w:ascii="Garamond" w:hAnsi="Garamond"/>
        </w:rPr>
        <w:t>;</w:t>
      </w:r>
    </w:p>
    <w:p w:rsidR="007141A2" w:rsidRPr="00156E88" w:rsidRDefault="007141A2" w:rsidP="007141A2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  <w:b/>
        </w:rPr>
      </w:pPr>
      <w:proofErr w:type="spellStart"/>
      <w:r w:rsidRPr="00156E88">
        <w:rPr>
          <w:rFonts w:ascii="Garamond" w:hAnsi="Garamond"/>
        </w:rPr>
        <w:t>Nenit</w:t>
      </w:r>
      <w:proofErr w:type="spellEnd"/>
      <w:r w:rsidRPr="00156E88">
        <w:rPr>
          <w:rFonts w:ascii="Garamond" w:hAnsi="Garamond"/>
        </w:rPr>
        <w:t xml:space="preserve"> 46 </w:t>
      </w:r>
      <w:proofErr w:type="spellStart"/>
      <w:r w:rsidRPr="00156E88">
        <w:rPr>
          <w:rFonts w:ascii="Garamond" w:hAnsi="Garamond"/>
        </w:rPr>
        <w:t>paragrafi</w:t>
      </w:r>
      <w:proofErr w:type="spellEnd"/>
      <w:r w:rsidRPr="00156E88">
        <w:rPr>
          <w:rFonts w:ascii="Garamond" w:hAnsi="Garamond"/>
        </w:rPr>
        <w:t xml:space="preserve"> 1 </w:t>
      </w:r>
      <w:proofErr w:type="spellStart"/>
      <w:r w:rsidRPr="00156E88">
        <w:rPr>
          <w:rFonts w:ascii="Garamond" w:hAnsi="Garamond"/>
        </w:rPr>
        <w:t>pikës</w:t>
      </w:r>
      <w:proofErr w:type="spellEnd"/>
      <w:r w:rsidRPr="00156E88">
        <w:rPr>
          <w:rFonts w:ascii="Garamond" w:hAnsi="Garamond"/>
        </w:rPr>
        <w:t xml:space="preserve"> 2 </w:t>
      </w:r>
      <w:proofErr w:type="spellStart"/>
      <w:r w:rsidRPr="00156E88">
        <w:rPr>
          <w:rFonts w:ascii="Garamond" w:hAnsi="Garamond"/>
        </w:rPr>
        <w:t>dhe</w:t>
      </w:r>
      <w:proofErr w:type="spellEnd"/>
      <w:r w:rsidRPr="00156E88">
        <w:rPr>
          <w:rFonts w:ascii="Garamond" w:hAnsi="Garamond"/>
        </w:rPr>
        <w:t xml:space="preserve"> 8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Statutit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Komu8nës </w:t>
      </w:r>
      <w:proofErr w:type="spellStart"/>
      <w:r w:rsidRPr="00156E88">
        <w:rPr>
          <w:rFonts w:ascii="Garamond" w:hAnsi="Garamond"/>
        </w:rPr>
        <w:t>së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Tuzit</w:t>
      </w:r>
      <w:proofErr w:type="spellEnd"/>
      <w:r w:rsidRPr="00156E88">
        <w:rPr>
          <w:rFonts w:ascii="Garamond" w:hAnsi="Garamond"/>
        </w:rPr>
        <w:t xml:space="preserve">  (“Fleta </w:t>
      </w:r>
      <w:proofErr w:type="spellStart"/>
      <w:r w:rsidRPr="00156E88">
        <w:rPr>
          <w:rFonts w:ascii="Garamond" w:hAnsi="Garamond"/>
        </w:rPr>
        <w:t>Zyrtare</w:t>
      </w:r>
      <w:proofErr w:type="spellEnd"/>
      <w:r w:rsidRPr="00156E88">
        <w:rPr>
          <w:rFonts w:ascii="Garamond" w:hAnsi="Garamond"/>
        </w:rPr>
        <w:t xml:space="preserve"> e MZ”- </w:t>
      </w:r>
      <w:proofErr w:type="spellStart"/>
      <w:r w:rsidRPr="00156E88">
        <w:rPr>
          <w:rFonts w:ascii="Garamond" w:hAnsi="Garamond"/>
        </w:rPr>
        <w:t>dispozitat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komunale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numër</w:t>
      </w:r>
      <w:proofErr w:type="spellEnd"/>
      <w:r w:rsidRPr="00156E88">
        <w:rPr>
          <w:rFonts w:ascii="Garamond" w:hAnsi="Garamond"/>
        </w:rPr>
        <w:t xml:space="preserve"> 24/19), me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cilin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paraparë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Kuvendi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sjellë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rregullore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dhe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akte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tjera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përgjithshme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aplikon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dhe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përcakton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komunale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taksa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kompensime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dhe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ardhura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tjera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vetjake</w:t>
      </w:r>
      <w:proofErr w:type="spellEnd"/>
      <w:r w:rsidRPr="00156E88">
        <w:rPr>
          <w:rFonts w:ascii="Garamond" w:hAnsi="Garamond"/>
        </w:rPr>
        <w:t xml:space="preserve">. </w:t>
      </w:r>
    </w:p>
    <w:p w:rsidR="007141A2" w:rsidRPr="00156E88" w:rsidRDefault="007141A2" w:rsidP="007141A2">
      <w:pPr>
        <w:rPr>
          <w:rFonts w:ascii="Garamond" w:hAnsi="Garamond"/>
          <w:b/>
        </w:rPr>
      </w:pPr>
      <w:r w:rsidRPr="00156E88">
        <w:rPr>
          <w:rFonts w:ascii="Garamond" w:hAnsi="Garamond"/>
          <w:b/>
        </w:rPr>
        <w:t xml:space="preserve">ARSYET PËR SJELLJEN E VENDIMIT </w:t>
      </w:r>
    </w:p>
    <w:p w:rsidR="007141A2" w:rsidRPr="00156E88" w:rsidRDefault="007141A2" w:rsidP="007141A2">
      <w:pPr>
        <w:jc w:val="both"/>
        <w:rPr>
          <w:rFonts w:ascii="Garamond" w:hAnsi="Garamond"/>
        </w:rPr>
      </w:pPr>
      <w:proofErr w:type="spellStart"/>
      <w:r w:rsidRPr="00156E88">
        <w:rPr>
          <w:rFonts w:ascii="Garamond" w:hAnsi="Garamond"/>
        </w:rPr>
        <w:t>Kuvendi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Malit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Zi me 4 </w:t>
      </w:r>
      <w:proofErr w:type="spellStart"/>
      <w:r w:rsidRPr="00156E88">
        <w:rPr>
          <w:rFonts w:ascii="Garamond" w:hAnsi="Garamond"/>
        </w:rPr>
        <w:t>prill</w:t>
      </w:r>
      <w:proofErr w:type="spellEnd"/>
      <w:r w:rsidRPr="00156E88">
        <w:rPr>
          <w:rFonts w:ascii="Garamond" w:hAnsi="Garamond"/>
        </w:rPr>
        <w:t xml:space="preserve"> 2019, ka </w:t>
      </w:r>
      <w:proofErr w:type="spellStart"/>
      <w:r w:rsidRPr="00156E88">
        <w:rPr>
          <w:rFonts w:ascii="Garamond" w:hAnsi="Garamond"/>
        </w:rPr>
        <w:t>sjellë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Ligjin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mbi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tatimin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cili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publikuar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“</w:t>
      </w:r>
      <w:proofErr w:type="spellStart"/>
      <w:r w:rsidRPr="00156E88">
        <w:rPr>
          <w:rFonts w:ascii="Garamond" w:hAnsi="Garamond"/>
        </w:rPr>
        <w:t>Fletën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Zyrtare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MZ” </w:t>
      </w:r>
      <w:proofErr w:type="spellStart"/>
      <w:r w:rsidRPr="00156E88">
        <w:rPr>
          <w:rFonts w:ascii="Garamond" w:hAnsi="Garamond"/>
        </w:rPr>
        <w:t>numër</w:t>
      </w:r>
      <w:proofErr w:type="spellEnd"/>
      <w:r w:rsidRPr="00156E88">
        <w:rPr>
          <w:rFonts w:ascii="Garamond" w:hAnsi="Garamond"/>
        </w:rPr>
        <w:t xml:space="preserve"> 25/19. Me </w:t>
      </w:r>
      <w:proofErr w:type="spellStart"/>
      <w:r w:rsidRPr="00156E88">
        <w:rPr>
          <w:rFonts w:ascii="Garamond" w:hAnsi="Garamond"/>
        </w:rPr>
        <w:t>nenin</w:t>
      </w:r>
      <w:proofErr w:type="spellEnd"/>
      <w:r w:rsidRPr="00156E88">
        <w:rPr>
          <w:rFonts w:ascii="Garamond" w:hAnsi="Garamond"/>
        </w:rPr>
        <w:t xml:space="preserve"> 26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Ligjit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paraparë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rregulloret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për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realizimin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këtij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Ligji</w:t>
      </w:r>
      <w:proofErr w:type="spellEnd"/>
      <w:r w:rsidRPr="00156E88">
        <w:rPr>
          <w:rFonts w:ascii="Garamond" w:hAnsi="Garamond"/>
        </w:rPr>
        <w:t xml:space="preserve"> do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sjellët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voni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gjashtë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muaj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nga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dita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hyrjes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fuqi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këtij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Ligji</w:t>
      </w:r>
      <w:proofErr w:type="spellEnd"/>
      <w:r w:rsidRPr="00156E88">
        <w:rPr>
          <w:rFonts w:ascii="Garamond" w:hAnsi="Garamond"/>
        </w:rPr>
        <w:t xml:space="preserve">, e </w:t>
      </w:r>
      <w:proofErr w:type="spellStart"/>
      <w:r w:rsidRPr="00156E88">
        <w:rPr>
          <w:rFonts w:ascii="Garamond" w:hAnsi="Garamond"/>
        </w:rPr>
        <w:t>nga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kjo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arsye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jemi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qasur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hartimit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këtij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Vendimi</w:t>
      </w:r>
      <w:proofErr w:type="spellEnd"/>
      <w:r w:rsidRPr="00156E88">
        <w:rPr>
          <w:rFonts w:ascii="Garamond" w:hAnsi="Garamond"/>
        </w:rPr>
        <w:t xml:space="preserve">. </w:t>
      </w:r>
    </w:p>
    <w:p w:rsidR="007141A2" w:rsidRPr="00156E88" w:rsidRDefault="007141A2" w:rsidP="007141A2">
      <w:pPr>
        <w:rPr>
          <w:rFonts w:ascii="Garamond" w:hAnsi="Garamond"/>
          <w:b/>
        </w:rPr>
      </w:pPr>
      <w:r w:rsidRPr="00156E88">
        <w:rPr>
          <w:rFonts w:ascii="Garamond" w:hAnsi="Garamond"/>
          <w:b/>
        </w:rPr>
        <w:t>PËRMBAJTJA E VENDIMIT</w:t>
      </w:r>
    </w:p>
    <w:p w:rsidR="007141A2" w:rsidRPr="00156E88" w:rsidRDefault="007141A2" w:rsidP="007141A2">
      <w:pPr>
        <w:jc w:val="both"/>
        <w:rPr>
          <w:rFonts w:ascii="Garamond" w:hAnsi="Garamond"/>
        </w:rPr>
      </w:pPr>
      <w:r w:rsidRPr="00156E88">
        <w:rPr>
          <w:rFonts w:ascii="Garamond" w:hAnsi="Garamond"/>
        </w:rPr>
        <w:t xml:space="preserve">Me </w:t>
      </w:r>
      <w:proofErr w:type="spellStart"/>
      <w:r w:rsidRPr="00156E88">
        <w:rPr>
          <w:rFonts w:ascii="Garamond" w:hAnsi="Garamond"/>
        </w:rPr>
        <w:t>këtë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Vendim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përcaktuar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lënda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përkatësia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ardhurave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nga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përdorimi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gjuhës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ndeshmë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gjinore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lënda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tatimore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pastaj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kush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pagues</w:t>
      </w:r>
      <w:proofErr w:type="spellEnd"/>
      <w:r w:rsidRPr="00156E88">
        <w:rPr>
          <w:rFonts w:ascii="Garamond" w:hAnsi="Garamond"/>
        </w:rPr>
        <w:t xml:space="preserve">. </w:t>
      </w:r>
    </w:p>
    <w:p w:rsidR="007141A2" w:rsidRPr="00156E88" w:rsidRDefault="007141A2" w:rsidP="007141A2">
      <w:pPr>
        <w:jc w:val="both"/>
        <w:rPr>
          <w:rFonts w:ascii="Garamond" w:hAnsi="Garamond"/>
        </w:rPr>
      </w:pPr>
      <w:proofErr w:type="spellStart"/>
      <w:r w:rsidRPr="00156E88">
        <w:rPr>
          <w:rFonts w:ascii="Garamond" w:hAnsi="Garamond"/>
        </w:rPr>
        <w:t>Gjithashtu</w:t>
      </w:r>
      <w:proofErr w:type="spellEnd"/>
      <w:r w:rsidRPr="00156E88">
        <w:rPr>
          <w:rFonts w:ascii="Garamond" w:hAnsi="Garamond"/>
        </w:rPr>
        <w:t xml:space="preserve">, me </w:t>
      </w:r>
      <w:proofErr w:type="spellStart"/>
      <w:r w:rsidRPr="00156E88">
        <w:rPr>
          <w:rFonts w:ascii="Garamond" w:hAnsi="Garamond"/>
        </w:rPr>
        <w:t>vendimin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propozuar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paraparë</w:t>
      </w:r>
      <w:proofErr w:type="spellEnd"/>
      <w:r w:rsidRPr="00156E88">
        <w:rPr>
          <w:rFonts w:ascii="Garamond" w:hAnsi="Garamond"/>
        </w:rPr>
        <w:t xml:space="preserve"> se </w:t>
      </w:r>
      <w:proofErr w:type="spellStart"/>
      <w:r w:rsidRPr="00156E88">
        <w:rPr>
          <w:rFonts w:ascii="Garamond" w:hAnsi="Garamond"/>
        </w:rPr>
        <w:t>çka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baza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tatimore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mënyra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përcaktimit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vlerës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tregut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patundshmërive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janë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paraparë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koeficientet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lokacioneve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patundshmërive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mënyra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përcaktimit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kualitetit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truallit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koeficienti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vjetërsisë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objektit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koeficienti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komunal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patundshmërive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paraparë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shkalla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tatimit</w:t>
      </w:r>
      <w:proofErr w:type="spellEnd"/>
      <w:r w:rsidRPr="00156E88">
        <w:rPr>
          <w:rFonts w:ascii="Garamond" w:hAnsi="Garamond"/>
        </w:rPr>
        <w:t xml:space="preserve"> , </w:t>
      </w:r>
      <w:proofErr w:type="spellStart"/>
      <w:r w:rsidRPr="00156E88">
        <w:rPr>
          <w:rFonts w:ascii="Garamond" w:hAnsi="Garamond"/>
        </w:rPr>
        <w:t>mënyra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përcaktimit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bazës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tatimore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për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tatimpaguesin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cili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udhëheqë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librat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punës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lehtësimet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tatimore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fletëparaqitjet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tatimore</w:t>
      </w:r>
      <w:proofErr w:type="spellEnd"/>
      <w:r w:rsidRPr="00156E88">
        <w:rPr>
          <w:rFonts w:ascii="Garamond" w:hAnsi="Garamond"/>
        </w:rPr>
        <w:t xml:space="preserve">. </w:t>
      </w:r>
    </w:p>
    <w:p w:rsidR="007141A2" w:rsidRPr="00156E88" w:rsidRDefault="007141A2" w:rsidP="007141A2">
      <w:pPr>
        <w:jc w:val="both"/>
        <w:rPr>
          <w:rFonts w:ascii="Garamond" w:hAnsi="Garamond"/>
        </w:rPr>
      </w:pPr>
      <w:r w:rsidRPr="00156E88">
        <w:rPr>
          <w:rFonts w:ascii="Garamond" w:hAnsi="Garamond"/>
        </w:rPr>
        <w:t xml:space="preserve">Me </w:t>
      </w:r>
      <w:proofErr w:type="spellStart"/>
      <w:r w:rsidRPr="00156E88">
        <w:rPr>
          <w:rFonts w:ascii="Garamond" w:hAnsi="Garamond"/>
        </w:rPr>
        <w:t>Vendimin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propozuar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rregulluar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administrata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ardhurave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lokale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publike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Komunës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Tuzit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kryen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punët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përcaktimit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pagesës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dhe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kontrollit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tatimeve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</w:t>
      </w:r>
      <w:proofErr w:type="spellEnd"/>
      <w:r w:rsidRPr="00156E88">
        <w:rPr>
          <w:rFonts w:ascii="Garamond" w:hAnsi="Garamond"/>
        </w:rPr>
        <w:t>.</w:t>
      </w:r>
    </w:p>
    <w:p w:rsidR="007141A2" w:rsidRPr="00156E88" w:rsidRDefault="007141A2" w:rsidP="007141A2">
      <w:pPr>
        <w:jc w:val="both"/>
        <w:rPr>
          <w:rFonts w:ascii="Garamond" w:hAnsi="Garamond"/>
        </w:rPr>
      </w:pPr>
      <w:r w:rsidRPr="00156E88">
        <w:rPr>
          <w:rFonts w:ascii="Garamond" w:hAnsi="Garamond"/>
        </w:rPr>
        <w:t xml:space="preserve">Me </w:t>
      </w:r>
      <w:proofErr w:type="spellStart"/>
      <w:r w:rsidRPr="00156E88">
        <w:rPr>
          <w:rFonts w:ascii="Garamond" w:hAnsi="Garamond"/>
        </w:rPr>
        <w:t>Vendim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gjithashtu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paraparë</w:t>
      </w:r>
      <w:proofErr w:type="spellEnd"/>
      <w:r w:rsidRPr="00156E88">
        <w:rPr>
          <w:rFonts w:ascii="Garamond" w:hAnsi="Garamond"/>
        </w:rPr>
        <w:t xml:space="preserve"> 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procedura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përcaktimit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pagesës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dhe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kontrollit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tatimeve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procedura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ankesave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mbikëqyrja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inspektuese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pagesa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detyruar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dhe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tjera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nuk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janë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bërë</w:t>
      </w:r>
      <w:proofErr w:type="spellEnd"/>
      <w:r w:rsidRPr="00156E88">
        <w:rPr>
          <w:rFonts w:ascii="Garamond" w:hAnsi="Garamond"/>
        </w:rPr>
        <w:t xml:space="preserve"> me </w:t>
      </w:r>
      <w:proofErr w:type="spellStart"/>
      <w:r w:rsidRPr="00156E88">
        <w:rPr>
          <w:rFonts w:ascii="Garamond" w:hAnsi="Garamond"/>
        </w:rPr>
        <w:t>Ligjin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mbi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tatimin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zbatimet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ndaj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rregulloreve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Ligjit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mbi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administratën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tatimore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si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dhe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gjitha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çështjet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kanë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bëjnë</w:t>
      </w:r>
      <w:proofErr w:type="spellEnd"/>
      <w:r w:rsidRPr="00156E88">
        <w:rPr>
          <w:rFonts w:ascii="Garamond" w:hAnsi="Garamond"/>
        </w:rPr>
        <w:t xml:space="preserve"> me </w:t>
      </w:r>
      <w:proofErr w:type="spellStart"/>
      <w:r w:rsidRPr="00156E88">
        <w:rPr>
          <w:rFonts w:ascii="Garamond" w:hAnsi="Garamond"/>
        </w:rPr>
        <w:t>tatimin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tatimpaguesit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bazën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tatimore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përjashtimet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lehtësimet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dhe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dispozitat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penale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nuk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rregullohen</w:t>
      </w:r>
      <w:proofErr w:type="spellEnd"/>
      <w:r w:rsidRPr="00156E88">
        <w:rPr>
          <w:rFonts w:ascii="Garamond" w:hAnsi="Garamond"/>
        </w:rPr>
        <w:t xml:space="preserve"> me </w:t>
      </w:r>
      <w:proofErr w:type="spellStart"/>
      <w:r w:rsidRPr="00156E88">
        <w:rPr>
          <w:rFonts w:ascii="Garamond" w:hAnsi="Garamond"/>
        </w:rPr>
        <w:t>këtë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Vendim</w:t>
      </w:r>
      <w:proofErr w:type="spellEnd"/>
      <w:r w:rsidRPr="00156E88">
        <w:rPr>
          <w:rFonts w:ascii="Garamond" w:hAnsi="Garamond"/>
        </w:rPr>
        <w:t xml:space="preserve"> do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zbatohen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dispozitat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Ligjit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për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</w:t>
      </w:r>
      <w:proofErr w:type="spellEnd"/>
      <w:r w:rsidRPr="00156E88">
        <w:rPr>
          <w:rFonts w:ascii="Garamond" w:hAnsi="Garamond"/>
        </w:rPr>
        <w:t>.</w:t>
      </w:r>
    </w:p>
    <w:p w:rsidR="007141A2" w:rsidRPr="00156E88" w:rsidRDefault="007141A2" w:rsidP="007141A2">
      <w:pPr>
        <w:jc w:val="both"/>
        <w:rPr>
          <w:rFonts w:ascii="Garamond" w:hAnsi="Garamond"/>
        </w:rPr>
      </w:pPr>
      <w:r w:rsidRPr="00156E88">
        <w:rPr>
          <w:rFonts w:ascii="Garamond" w:hAnsi="Garamond"/>
        </w:rPr>
        <w:t xml:space="preserve">Me </w:t>
      </w:r>
      <w:proofErr w:type="spellStart"/>
      <w:r w:rsidRPr="00156E88">
        <w:rPr>
          <w:rFonts w:ascii="Garamond" w:hAnsi="Garamond"/>
        </w:rPr>
        <w:t>vendim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paraparë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pagesa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tatimit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kryhet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llogarinë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Komunës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pajtim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rregulloren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mbi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mënyrën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pagesës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ardhurave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publike</w:t>
      </w:r>
      <w:proofErr w:type="spellEnd"/>
      <w:r w:rsidRPr="00156E88">
        <w:rPr>
          <w:rFonts w:ascii="Garamond" w:hAnsi="Garamond"/>
        </w:rPr>
        <w:t>.</w:t>
      </w:r>
    </w:p>
    <w:p w:rsidR="007141A2" w:rsidRPr="00156E88" w:rsidRDefault="007141A2" w:rsidP="007141A2">
      <w:pPr>
        <w:jc w:val="both"/>
        <w:rPr>
          <w:rFonts w:ascii="Garamond" w:hAnsi="Garamond"/>
        </w:rPr>
      </w:pPr>
      <w:proofErr w:type="spellStart"/>
      <w:r w:rsidRPr="00156E88">
        <w:rPr>
          <w:rFonts w:ascii="Garamond" w:hAnsi="Garamond"/>
        </w:rPr>
        <w:lastRenderedPageBreak/>
        <w:t>Gjithashtu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paraparë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me </w:t>
      </w:r>
      <w:proofErr w:type="spellStart"/>
      <w:r w:rsidRPr="00156E88">
        <w:rPr>
          <w:rFonts w:ascii="Garamond" w:hAnsi="Garamond"/>
        </w:rPr>
        <w:t>hyrjen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fuqi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Vendimit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propozuar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pushon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vlejturi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Vendimi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mëparshëm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procedurat</w:t>
      </w:r>
      <w:proofErr w:type="spellEnd"/>
      <w:r w:rsidRPr="00156E88">
        <w:rPr>
          <w:rFonts w:ascii="Garamond" w:hAnsi="Garamond"/>
        </w:rPr>
        <w:t xml:space="preserve">  e </w:t>
      </w:r>
      <w:proofErr w:type="spellStart"/>
      <w:r w:rsidRPr="00156E88">
        <w:rPr>
          <w:rFonts w:ascii="Garamond" w:hAnsi="Garamond"/>
        </w:rPr>
        <w:t>përcaktimit</w:t>
      </w:r>
      <w:proofErr w:type="spellEnd"/>
      <w:r w:rsidRPr="00156E88">
        <w:rPr>
          <w:rFonts w:ascii="Garamond" w:hAnsi="Garamond"/>
        </w:rPr>
        <w:t xml:space="preserve"> 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tatimit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patundshmëri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cilat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nuk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janë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përfunduar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ligjshmërisht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deri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ditën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hyrjes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fuqi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këtij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vendimi</w:t>
      </w:r>
      <w:proofErr w:type="spellEnd"/>
      <w:r w:rsidRPr="00156E88">
        <w:rPr>
          <w:rFonts w:ascii="Garamond" w:hAnsi="Garamond"/>
        </w:rPr>
        <w:t xml:space="preserve">,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përfundohen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pajtueshmëri</w:t>
      </w:r>
      <w:proofErr w:type="spellEnd"/>
      <w:r w:rsidRPr="00156E88">
        <w:rPr>
          <w:rFonts w:ascii="Garamond" w:hAnsi="Garamond"/>
        </w:rPr>
        <w:t xml:space="preserve"> me </w:t>
      </w:r>
      <w:proofErr w:type="spellStart"/>
      <w:r w:rsidRPr="00156E88">
        <w:rPr>
          <w:rFonts w:ascii="Garamond" w:hAnsi="Garamond"/>
        </w:rPr>
        <w:t>dispozitat</w:t>
      </w:r>
      <w:proofErr w:type="spellEnd"/>
      <w:r w:rsidRPr="00156E88">
        <w:rPr>
          <w:rFonts w:ascii="Garamond" w:hAnsi="Garamond"/>
        </w:rPr>
        <w:t xml:space="preserve"> e  </w:t>
      </w:r>
      <w:proofErr w:type="spellStart"/>
      <w:r w:rsidRPr="00156E88">
        <w:rPr>
          <w:rFonts w:ascii="Garamond" w:hAnsi="Garamond"/>
        </w:rPr>
        <w:t>vendimit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që</w:t>
      </w:r>
      <w:proofErr w:type="spellEnd"/>
      <w:r w:rsidRPr="00156E88">
        <w:rPr>
          <w:rFonts w:ascii="Garamond" w:hAnsi="Garamond"/>
        </w:rPr>
        <w:t xml:space="preserve"> ka </w:t>
      </w:r>
      <w:proofErr w:type="spellStart"/>
      <w:r w:rsidRPr="00156E88">
        <w:rPr>
          <w:rFonts w:ascii="Garamond" w:hAnsi="Garamond"/>
        </w:rPr>
        <w:t>qene</w:t>
      </w:r>
      <w:proofErr w:type="spellEnd"/>
      <w:r w:rsidRPr="00156E88">
        <w:rPr>
          <w:rFonts w:ascii="Garamond" w:hAnsi="Garamond"/>
        </w:rPr>
        <w:t xml:space="preserve"> ne </w:t>
      </w:r>
      <w:proofErr w:type="spellStart"/>
      <w:r w:rsidRPr="00156E88">
        <w:rPr>
          <w:rFonts w:ascii="Garamond" w:hAnsi="Garamond"/>
        </w:rPr>
        <w:t>fuqi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kohën</w:t>
      </w:r>
      <w:proofErr w:type="spellEnd"/>
      <w:r w:rsidRPr="00156E88">
        <w:rPr>
          <w:rFonts w:ascii="Garamond" w:hAnsi="Garamond"/>
        </w:rPr>
        <w:t xml:space="preserve"> e </w:t>
      </w:r>
      <w:proofErr w:type="spellStart"/>
      <w:r w:rsidRPr="00156E88">
        <w:rPr>
          <w:rFonts w:ascii="Garamond" w:hAnsi="Garamond"/>
        </w:rPr>
        <w:t>inicimit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procedurës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si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dhe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është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përcaktuar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afati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hyrjes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në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fuqi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të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këtij</w:t>
      </w:r>
      <w:proofErr w:type="spellEnd"/>
      <w:r w:rsidRPr="00156E88">
        <w:rPr>
          <w:rFonts w:ascii="Garamond" w:hAnsi="Garamond"/>
        </w:rPr>
        <w:t xml:space="preserve"> </w:t>
      </w:r>
      <w:proofErr w:type="spellStart"/>
      <w:r w:rsidRPr="00156E88">
        <w:rPr>
          <w:rFonts w:ascii="Garamond" w:hAnsi="Garamond"/>
        </w:rPr>
        <w:t>Vendimi</w:t>
      </w:r>
      <w:proofErr w:type="spellEnd"/>
      <w:r w:rsidRPr="00156E88">
        <w:rPr>
          <w:rFonts w:ascii="Garamond" w:hAnsi="Garamond"/>
        </w:rPr>
        <w:t xml:space="preserve">. </w:t>
      </w:r>
    </w:p>
    <w:p w:rsidR="007141A2" w:rsidRPr="007141A2" w:rsidRDefault="007141A2" w:rsidP="00D95E05">
      <w:pPr>
        <w:spacing w:line="240" w:lineRule="auto"/>
        <w:rPr>
          <w:rFonts w:ascii="Garamond" w:hAnsi="Garamond"/>
          <w:bCs/>
          <w:lang w:val="sq-AL"/>
        </w:rPr>
      </w:pPr>
    </w:p>
    <w:sectPr w:rsidR="007141A2" w:rsidRPr="007141A2" w:rsidSect="006F7D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924"/>
    <w:multiLevelType w:val="multilevel"/>
    <w:tmpl w:val="C6E01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9423765"/>
    <w:multiLevelType w:val="multilevel"/>
    <w:tmpl w:val="63202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63E2D71"/>
    <w:multiLevelType w:val="hybridMultilevel"/>
    <w:tmpl w:val="A6105DE0"/>
    <w:lvl w:ilvl="0" w:tplc="08088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0C"/>
    <w:rsid w:val="001431DE"/>
    <w:rsid w:val="0018745C"/>
    <w:rsid w:val="001B4DFE"/>
    <w:rsid w:val="001C445F"/>
    <w:rsid w:val="001F7FF3"/>
    <w:rsid w:val="00210651"/>
    <w:rsid w:val="002116A2"/>
    <w:rsid w:val="00314CA9"/>
    <w:rsid w:val="00465D20"/>
    <w:rsid w:val="00531AFC"/>
    <w:rsid w:val="005F46C8"/>
    <w:rsid w:val="0066510C"/>
    <w:rsid w:val="00672F6D"/>
    <w:rsid w:val="006F7D6A"/>
    <w:rsid w:val="007141A2"/>
    <w:rsid w:val="00786669"/>
    <w:rsid w:val="008A3A08"/>
    <w:rsid w:val="009B70EF"/>
    <w:rsid w:val="009F0DD6"/>
    <w:rsid w:val="00A511EA"/>
    <w:rsid w:val="00A61F24"/>
    <w:rsid w:val="00AD4C33"/>
    <w:rsid w:val="00B40188"/>
    <w:rsid w:val="00B5670E"/>
    <w:rsid w:val="00C85C77"/>
    <w:rsid w:val="00D478B4"/>
    <w:rsid w:val="00D5445C"/>
    <w:rsid w:val="00D95E05"/>
    <w:rsid w:val="00DC7E4B"/>
    <w:rsid w:val="00F41F15"/>
    <w:rsid w:val="00F631A6"/>
    <w:rsid w:val="00FA305A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4D8C"/>
  <w15:docId w15:val="{5004C21F-E05D-44E0-BDA5-487AFE08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45F"/>
    <w:pPr>
      <w:spacing w:after="0" w:line="240" w:lineRule="auto"/>
    </w:pPr>
    <w:rPr>
      <w:rFonts w:asciiTheme="minorHAnsi" w:hAnsiTheme="minorHAnsi" w:cstheme="minorBidi"/>
      <w:b/>
      <w:i/>
      <w:caps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18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finansije.tuzi</dc:creator>
  <cp:lastModifiedBy>Kryetari</cp:lastModifiedBy>
  <cp:revision>14</cp:revision>
  <cp:lastPrinted>2019-12-20T10:23:00Z</cp:lastPrinted>
  <dcterms:created xsi:type="dcterms:W3CDTF">2019-12-13T13:37:00Z</dcterms:created>
  <dcterms:modified xsi:type="dcterms:W3CDTF">2019-12-20T12:52:00Z</dcterms:modified>
</cp:coreProperties>
</file>