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E5AF9" w14:textId="41A04ECE" w:rsidR="00644130" w:rsidRDefault="00644130">
      <w:pPr>
        <w:autoSpaceDE/>
        <w:autoSpaceDN/>
        <w:adjustRightInd/>
        <w:spacing w:after="160" w:line="259" w:lineRule="auto"/>
        <w:rPr>
          <w:rFonts w:ascii="Garamond" w:hAnsi="Garamond"/>
          <w:b/>
          <w:bCs/>
          <w:sz w:val="24"/>
          <w:szCs w:val="24"/>
          <w:lang w:val="sq-AL"/>
        </w:rPr>
      </w:pPr>
      <w:r>
        <w:rPr>
          <w:rFonts w:ascii="Garamond" w:hAnsi="Garamond"/>
          <w:b/>
          <w:bCs/>
          <w:noProof/>
          <w:sz w:val="24"/>
          <w:szCs w:val="24"/>
          <w:lang w:val="sq-AL"/>
        </w:rPr>
        <w:drawing>
          <wp:anchor distT="0" distB="0" distL="114300" distR="114300" simplePos="0" relativeHeight="251658240" behindDoc="0" locked="0" layoutInCell="1" allowOverlap="1" wp14:anchorId="3DFC0708" wp14:editId="4883889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1420" cy="105689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56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bCs/>
          <w:sz w:val="24"/>
          <w:szCs w:val="24"/>
          <w:lang w:val="sq-AL"/>
        </w:rPr>
        <w:br w:type="page"/>
      </w:r>
    </w:p>
    <w:p w14:paraId="55E01ADD" w14:textId="040D3CB3" w:rsidR="00644130" w:rsidRPr="00E267EB" w:rsidRDefault="00644130" w:rsidP="00644130">
      <w:pPr>
        <w:pStyle w:val="N02Y"/>
        <w:ind w:firstLine="0"/>
        <w:rPr>
          <w:rFonts w:ascii="Garamond" w:hAnsi="Garamond"/>
          <w:b/>
          <w:bCs/>
          <w:sz w:val="24"/>
          <w:szCs w:val="24"/>
          <w:lang w:val="sq-AL"/>
        </w:rPr>
      </w:pPr>
      <w:r w:rsidRPr="00E267EB">
        <w:rPr>
          <w:rFonts w:ascii="Garamond" w:hAnsi="Garamond"/>
          <w:b/>
          <w:bCs/>
          <w:sz w:val="24"/>
          <w:szCs w:val="24"/>
          <w:lang w:val="sq-AL"/>
        </w:rPr>
        <w:lastRenderedPageBreak/>
        <w:t>PROJEKT</w:t>
      </w:r>
    </w:p>
    <w:p w14:paraId="1173670E" w14:textId="77777777" w:rsidR="00644130" w:rsidRPr="00CA7261" w:rsidRDefault="00644130" w:rsidP="00644130">
      <w:pPr>
        <w:pStyle w:val="N02Y"/>
        <w:ind w:firstLine="0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Në bazë të nenit 117 paragrafit 1 dhe 2, nenit 223 paragrafit 1 të Ligjit mbi planifikimin hapësinor dhe ndërtimin e objekteve ("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Fl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>. zyrtare e MZ", nr. 64/17, 44/18/, 63/18, 11/19 dhe 82/20) dhe nenit 53 paragrafit 1 pikës 2 të Statutit të Komunës së Tuzit ("Fleta zyrtare e Malit të Zi – dispozitat komunale" nr. 24/19), Kryetari i Komunës së Tuzit, në seancën e mbajtur me_____ , ka sjellët</w:t>
      </w:r>
    </w:p>
    <w:p w14:paraId="1345449A" w14:textId="77777777" w:rsidR="00644130" w:rsidRPr="00CA7261" w:rsidRDefault="00644130" w:rsidP="00644130">
      <w:pPr>
        <w:pStyle w:val="N03Y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VENDIMIN</w:t>
      </w:r>
    </w:p>
    <w:p w14:paraId="63658A7B" w14:textId="77777777" w:rsidR="00644130" w:rsidRPr="00CA7261" w:rsidRDefault="00644130" w:rsidP="00644130">
      <w:pPr>
        <w:pStyle w:val="N03Y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mbi vendosjen ose ndërtimin dhe heqjen e objekteve ndihmëse</w:t>
      </w:r>
    </w:p>
    <w:p w14:paraId="497E75E9" w14:textId="77777777" w:rsidR="00644130" w:rsidRPr="00CA7261" w:rsidRDefault="00644130" w:rsidP="00644130">
      <w:pPr>
        <w:pStyle w:val="N03Y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DHE DISPOZITA E PËRGJITHËSHME</w:t>
      </w:r>
    </w:p>
    <w:p w14:paraId="137E54B2" w14:textId="77777777" w:rsidR="00644130" w:rsidRPr="00CA7261" w:rsidRDefault="00644130" w:rsidP="00644130">
      <w:pPr>
        <w:pStyle w:val="N03Y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I DISPOZITAT E PËRGJITHËSHME</w:t>
      </w:r>
    </w:p>
    <w:p w14:paraId="7083FD77" w14:textId="77777777" w:rsidR="00644130" w:rsidRPr="00CA7261" w:rsidRDefault="00644130" w:rsidP="00644130">
      <w:pPr>
        <w:pStyle w:val="C30X"/>
        <w:rPr>
          <w:rFonts w:ascii="Garamond" w:hAnsi="Garamond"/>
          <w:lang w:val="sq-AL"/>
        </w:rPr>
      </w:pPr>
      <w:r w:rsidRPr="00CA7261">
        <w:rPr>
          <w:rFonts w:ascii="Garamond" w:hAnsi="Garamond"/>
          <w:lang w:val="sq-AL"/>
        </w:rPr>
        <w:t>Neni 1</w:t>
      </w:r>
    </w:p>
    <w:p w14:paraId="129F9F0A" w14:textId="77777777" w:rsidR="00644130" w:rsidRPr="00CA7261" w:rsidRDefault="00644130" w:rsidP="00644130">
      <w:pPr>
        <w:pStyle w:val="T30X"/>
        <w:jc w:val="left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Ky vendim përshkruan llojet e objekteve ndihmëse, të cilat shërbejnë për përdorimin e një objekti i banimit ose tjetër, dhe janë vendosur ose ndërtuar në të njëjtën parcelë urbane ose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kadastrale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>, si dhe kushtet dhe procedurën për vendosjen e tyre, pra ndërtimin dhe heqjen.</w:t>
      </w:r>
    </w:p>
    <w:p w14:paraId="10A51030" w14:textId="77777777" w:rsidR="00644130" w:rsidRPr="00CA7261" w:rsidRDefault="00644130" w:rsidP="00644130">
      <w:pPr>
        <w:pStyle w:val="T30X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CA7261">
        <w:rPr>
          <w:rFonts w:ascii="Garamond" w:hAnsi="Garamond"/>
          <w:b/>
          <w:bCs/>
          <w:sz w:val="24"/>
          <w:szCs w:val="24"/>
          <w:lang w:val="sq-AL"/>
        </w:rPr>
        <w:t>II LLOJET E OBJEKTEVE NDIHMËSE</w:t>
      </w:r>
    </w:p>
    <w:p w14:paraId="276AB4D7" w14:textId="77777777" w:rsidR="00644130" w:rsidRPr="00CA7261" w:rsidRDefault="00644130" w:rsidP="00644130">
      <w:pPr>
        <w:pStyle w:val="C30X"/>
        <w:rPr>
          <w:rFonts w:ascii="Garamond" w:hAnsi="Garamond"/>
          <w:lang w:val="sq-AL"/>
        </w:rPr>
      </w:pPr>
      <w:r w:rsidRPr="00CA7261">
        <w:rPr>
          <w:rFonts w:ascii="Garamond" w:hAnsi="Garamond"/>
          <w:lang w:val="sq-AL"/>
        </w:rPr>
        <w:t>Neni 2</w:t>
      </w:r>
    </w:p>
    <w:p w14:paraId="43A866CF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Objektet ndihmëse në kuptim të këtij vendimi, klasifikohen në tre lloje:</w:t>
      </w:r>
    </w:p>
    <w:p w14:paraId="2E7CF0B6" w14:textId="77777777" w:rsidR="00644130" w:rsidRPr="00CA7261" w:rsidRDefault="00644130" w:rsidP="00644130">
      <w:pPr>
        <w:pStyle w:val="T30X"/>
        <w:ind w:left="567" w:hanging="283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   - tip 1 objektet ndihmëse që formojnë një njësi funksionale dhe ekonomike me objektin e përdorur nga struktura ndihmëse, të tilla si: garazhe nëntokësore dhe mbitokësore, qilarë, depo, kasolle druri, kuzhina verore, portierë, ambiente për punonjësit e sigurimit, lehtësirat e taksave;</w:t>
      </w:r>
    </w:p>
    <w:p w14:paraId="0A2B43F9" w14:textId="77777777" w:rsidR="00644130" w:rsidRPr="00CA7261" w:rsidRDefault="00644130" w:rsidP="00644130">
      <w:pPr>
        <w:pStyle w:val="T30X"/>
        <w:ind w:left="567" w:hanging="283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   - tip 2 pajisje ndihmëse të infrastrukturës si: rezervuarë septikë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bio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 xml:space="preserve">, puse, rezervuarë uji, rezervuarë, cisterna,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puseta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 xml:space="preserve">, dhoma kazani, pajisje ngrohëse dhe ftohëse, sisteme gazi dhe panele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djellore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 xml:space="preserve"> për prodhimin e energjisë elektrike nga burimet e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rinovueshme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 xml:space="preserve">, 10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kW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 xml:space="preserve"> në çati objekt themelor ose tjetër ndihmës (në tekstin e  mëtejmë foto - panele tensioni);</w:t>
      </w:r>
    </w:p>
    <w:p w14:paraId="38DB505E" w14:textId="77777777" w:rsidR="00644130" w:rsidRPr="00CA7261" w:rsidRDefault="00644130" w:rsidP="00644130">
      <w:pPr>
        <w:pStyle w:val="T30X"/>
        <w:ind w:left="567" w:hanging="283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   - tip 3 ambiente ndihmëse për rregullimin e terrenit si: gardhe rrethuese, mure mbajtëse, pishina të jashtme, burime, tendë dhe të ngjashme.</w:t>
      </w:r>
    </w:p>
    <w:p w14:paraId="50A706BB" w14:textId="77777777" w:rsidR="00644130" w:rsidRPr="00CA7261" w:rsidRDefault="00644130" w:rsidP="00644130">
      <w:pPr>
        <w:pStyle w:val="T30X"/>
        <w:ind w:firstLine="0"/>
        <w:rPr>
          <w:rFonts w:ascii="Garamond" w:hAnsi="Garamond"/>
          <w:sz w:val="24"/>
          <w:szCs w:val="24"/>
          <w:lang w:val="sq-AL"/>
        </w:rPr>
      </w:pPr>
    </w:p>
    <w:p w14:paraId="32BA12F2" w14:textId="77777777" w:rsidR="00644130" w:rsidRPr="00CA7261" w:rsidRDefault="00644130" w:rsidP="00644130">
      <w:pPr>
        <w:pStyle w:val="T30X"/>
        <w:jc w:val="center"/>
        <w:rPr>
          <w:rFonts w:ascii="Garamond" w:hAnsi="Garamond"/>
          <w:b/>
          <w:bCs/>
          <w:sz w:val="24"/>
          <w:szCs w:val="24"/>
          <w:lang w:val="sq-AL"/>
        </w:rPr>
      </w:pPr>
    </w:p>
    <w:p w14:paraId="27758DAE" w14:textId="77777777" w:rsidR="00644130" w:rsidRPr="00CA7261" w:rsidRDefault="00644130" w:rsidP="00644130">
      <w:pPr>
        <w:pStyle w:val="T30X"/>
        <w:jc w:val="left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Përjashtimisht gardhet rrethuese dhe muret mbajtëse mund të ngrihen ose ndërtohen, edhe pse në parcelën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kadastrale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 xml:space="preserve"> dhe urbane nuk është ndërtuar objekti, sipas kushteve të përcaktuara me këtë vendim.</w:t>
      </w:r>
    </w:p>
    <w:p w14:paraId="63C915CA" w14:textId="77777777" w:rsidR="00644130" w:rsidRPr="00CA7261" w:rsidRDefault="00644130" w:rsidP="00644130">
      <w:pPr>
        <w:pStyle w:val="T30X"/>
        <w:jc w:val="center"/>
        <w:rPr>
          <w:rFonts w:ascii="Garamond" w:hAnsi="Garamond"/>
          <w:b/>
          <w:bCs/>
          <w:sz w:val="24"/>
          <w:szCs w:val="24"/>
          <w:lang w:val="sq-AL"/>
        </w:rPr>
      </w:pPr>
    </w:p>
    <w:p w14:paraId="3455CE76" w14:textId="77777777" w:rsidR="00644130" w:rsidRPr="00CA7261" w:rsidRDefault="00644130" w:rsidP="00644130">
      <w:pPr>
        <w:pStyle w:val="T30X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CA7261">
        <w:rPr>
          <w:rFonts w:ascii="Garamond" w:hAnsi="Garamond"/>
          <w:b/>
          <w:bCs/>
          <w:sz w:val="24"/>
          <w:szCs w:val="24"/>
          <w:lang w:val="sq-AL"/>
        </w:rPr>
        <w:t>III KUSHTET PËR THEMELIMIN GJEGJËSISHT NDËRTIMIN E OBJEKTEVE NDIHMËSE</w:t>
      </w:r>
    </w:p>
    <w:p w14:paraId="5ADE43CE" w14:textId="77777777" w:rsidR="00644130" w:rsidRPr="00CA7261" w:rsidRDefault="00644130" w:rsidP="00644130">
      <w:pPr>
        <w:pStyle w:val="C30X"/>
        <w:rPr>
          <w:rFonts w:ascii="Garamond" w:hAnsi="Garamond"/>
          <w:lang w:val="sq-AL"/>
        </w:rPr>
      </w:pPr>
      <w:r w:rsidRPr="00CA7261">
        <w:rPr>
          <w:rFonts w:ascii="Garamond" w:hAnsi="Garamond"/>
          <w:lang w:val="sq-AL"/>
        </w:rPr>
        <w:t>Neni 3</w:t>
      </w:r>
    </w:p>
    <w:p w14:paraId="1BDC25DB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Në një parcelë urbanistike gjegjësisht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kadastrale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>, lejohet ngritja gjegjësisht ndërtimi i vetëm një objekti ndihmës të tipit 1 dhe më shumë objekteve ndihmëse të tipit 2 dhe 3.</w:t>
      </w:r>
    </w:p>
    <w:p w14:paraId="67A50B3D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Nuk lejohet ndryshimi i  qëllimit në një objekt ndihmës të  banimit ose objekt biznesit.</w:t>
      </w:r>
    </w:p>
    <w:p w14:paraId="41AD0458" w14:textId="77777777" w:rsidR="00644130" w:rsidRPr="00CA7261" w:rsidRDefault="00644130" w:rsidP="00644130">
      <w:pPr>
        <w:pStyle w:val="T30X"/>
        <w:ind w:firstLine="0"/>
        <w:rPr>
          <w:rFonts w:ascii="Garamond" w:hAnsi="Garamond"/>
          <w:sz w:val="24"/>
          <w:szCs w:val="24"/>
          <w:lang w:val="sq-AL"/>
        </w:rPr>
      </w:pPr>
    </w:p>
    <w:p w14:paraId="258C6E00" w14:textId="77777777" w:rsidR="00644130" w:rsidRPr="00CA7261" w:rsidRDefault="00644130" w:rsidP="00644130">
      <w:pPr>
        <w:pStyle w:val="C30X"/>
        <w:rPr>
          <w:rFonts w:ascii="Garamond" w:hAnsi="Garamond"/>
          <w:lang w:val="sq-AL"/>
        </w:rPr>
      </w:pPr>
      <w:r w:rsidRPr="00CA7261">
        <w:rPr>
          <w:rFonts w:ascii="Garamond" w:hAnsi="Garamond"/>
          <w:lang w:val="sq-AL"/>
        </w:rPr>
        <w:t>Neni 4</w:t>
      </w:r>
    </w:p>
    <w:p w14:paraId="1764BB29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Objekti ndihmës është vendosur gjegjësisht ndërtuar brenda kufijve të parcelës urbanistike në përputhje me dokumentin e planifikimit, gjegjësisht  brenda kufijve të parcelës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kadastrale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 xml:space="preserve"> nëse nuk është miratuar një plan i detajuar i përpunimit.</w:t>
      </w:r>
    </w:p>
    <w:p w14:paraId="0E6CE079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Parametrat e planifikimit për sa i përket shfrytëzimit dhe ndërtimit të parcelave urbane gjegjësisht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kadastrale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 xml:space="preserve"> për objektet ndihmëse të tipit 2 dhe 3 nuk zbatohen.</w:t>
      </w:r>
    </w:p>
    <w:p w14:paraId="01EC4DDD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lastRenderedPageBreak/>
        <w:t>Nëse objekti ndihmës është ngritur gjegjësisht ndërtuar në një zonë për të cilën nuk është miratuar një dokument planifikimi, ose nëse dokumenti i planifikimit për të njëjtën nuk përcakton kushtet për vendosjen ose ndërtim, kushtet përcaktohen nga dispozitat e këtij vendimi.</w:t>
      </w:r>
    </w:p>
    <w:p w14:paraId="6173CAD6" w14:textId="77777777" w:rsidR="00644130" w:rsidRPr="00CA7261" w:rsidRDefault="00644130" w:rsidP="00644130">
      <w:pPr>
        <w:pStyle w:val="C30X"/>
        <w:rPr>
          <w:rFonts w:ascii="Garamond" w:hAnsi="Garamond"/>
          <w:lang w:val="sq-AL"/>
        </w:rPr>
      </w:pPr>
      <w:r w:rsidRPr="00CA7261">
        <w:rPr>
          <w:rFonts w:ascii="Garamond" w:hAnsi="Garamond"/>
          <w:lang w:val="sq-AL"/>
        </w:rPr>
        <w:t>Neni 5</w:t>
      </w:r>
    </w:p>
    <w:p w14:paraId="32394C63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Objekti ndihmës vendoset, gjegjësisht ndërtohet brenda kufijve të parcelës urbanistike ose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kadastrale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>, në një distancë prej të paktën 2 metra nga kufiri i saj,</w:t>
      </w:r>
    </w:p>
    <w:p w14:paraId="5B3437DF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Objekti ndihmës nëntokësor vendoset gjegjësisht ndërtohet brenda kufijve të parcelës urbanistike ose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kadastrale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>, në një distancë prej të paktën 2 metra nga kufiri i saj.</w:t>
      </w:r>
    </w:p>
    <w:p w14:paraId="7D5051E8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Pavarësisht nga paragrafët 1 dhe 2 të këtij neni, objekti ndihmës, përveç  gardhit rrethues dhe muri mbështetës, mund të ndërtohet përgjatë kufirit të një parcele urbane ose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kadastrale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 xml:space="preserve">, me pëlqimin e marrë më parë nga pronari i parcelës fqinje urbanistike ose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kadastrale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>.</w:t>
      </w:r>
    </w:p>
    <w:p w14:paraId="0D6320B4" w14:textId="77777777" w:rsidR="00644130" w:rsidRPr="00CA7261" w:rsidRDefault="00644130" w:rsidP="00644130">
      <w:pPr>
        <w:pStyle w:val="C30X"/>
        <w:rPr>
          <w:rFonts w:ascii="Garamond" w:hAnsi="Garamond"/>
          <w:lang w:val="sq-AL"/>
        </w:rPr>
      </w:pPr>
      <w:r w:rsidRPr="00CA7261">
        <w:rPr>
          <w:rFonts w:ascii="Garamond" w:hAnsi="Garamond"/>
          <w:lang w:val="sq-AL"/>
        </w:rPr>
        <w:t>Neni 6</w:t>
      </w:r>
    </w:p>
    <w:p w14:paraId="2EEA50C4" w14:textId="77777777" w:rsidR="00644130" w:rsidRPr="00CA7261" w:rsidRDefault="00644130" w:rsidP="00644130">
      <w:pPr>
        <w:pStyle w:val="T30X"/>
        <w:ind w:firstLine="0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Objektet ndihmëse të tipit 1 mund të jenë  në lartësinë e katit maksimal P (kati përdhes), dhe nëse terreni është i pjerrët, katet S (bodrum).</w:t>
      </w:r>
    </w:p>
    <w:p w14:paraId="6E292B98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Sipërfaqja maksimale e lejuar e ndërtimit bruto (BRGP) e objektit ndihmës të përmendur në paragrafin 1 të këtij neni mund të jetë deri në 35 m2.</w:t>
      </w:r>
    </w:p>
    <w:p w14:paraId="3C7A4F7E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Lartësia maksimale e qartë e dhomave në ndërtesën ndihmëse është 2.60 m.</w:t>
      </w:r>
    </w:p>
    <w:p w14:paraId="3B48768E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</w:p>
    <w:p w14:paraId="65F900FF" w14:textId="77777777" w:rsidR="00644130" w:rsidRPr="00CA7261" w:rsidRDefault="00644130" w:rsidP="00644130">
      <w:pPr>
        <w:pStyle w:val="C30X"/>
        <w:rPr>
          <w:rFonts w:ascii="Garamond" w:hAnsi="Garamond"/>
          <w:lang w:val="sq-AL"/>
        </w:rPr>
      </w:pPr>
      <w:r w:rsidRPr="00CA7261">
        <w:rPr>
          <w:rFonts w:ascii="Garamond" w:hAnsi="Garamond"/>
          <w:lang w:val="sq-AL"/>
        </w:rPr>
        <w:t>Neni 7</w:t>
      </w:r>
    </w:p>
    <w:p w14:paraId="1CA8278E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Bazuar në dokumentin e planifikimit, përpunime të hollësishme mund të vendosen gjegjësisht ndërtohen në kufirin e parcelës urbane plotësisht ose pjesërisht.</w:t>
      </w:r>
    </w:p>
    <w:p w14:paraId="7A024228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Në territorin që nuk është i mbuluar nga dokumenti i planifikimit, përpunimet e hollësishme të gardhit rrethues mund të vendosen në kufirin e parcelës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kadastrale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>.</w:t>
      </w:r>
    </w:p>
    <w:p w14:paraId="43B0F4FD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Përjashtimisht, gardhet rrethuese me tela të përkohshëm,  mund të vendosen përgjatë kufirit të parcelës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kadastrale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 xml:space="preserve"> gjegjësisht urbane në fushën e dokumentit të planifikimit të përpunimit të hollësishëm, derisa trualli të sillet në qëllimin e planifikuar.</w:t>
      </w:r>
    </w:p>
    <w:p w14:paraId="76B35C82" w14:textId="77777777" w:rsidR="00644130" w:rsidRPr="00CA7261" w:rsidRDefault="00644130" w:rsidP="00644130">
      <w:pPr>
        <w:pStyle w:val="C30X"/>
        <w:rPr>
          <w:rFonts w:ascii="Garamond" w:hAnsi="Garamond"/>
          <w:lang w:val="sq-AL"/>
        </w:rPr>
      </w:pPr>
      <w:r w:rsidRPr="00CA7261">
        <w:rPr>
          <w:rFonts w:ascii="Garamond" w:hAnsi="Garamond"/>
          <w:lang w:val="sq-AL"/>
        </w:rPr>
        <w:t>Neni 8</w:t>
      </w:r>
    </w:p>
    <w:p w14:paraId="59F0D5D2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Lartësia maksimale e gardhit rrethues që është vendosur ose ndërtuar rreth parcelës urbanistike ose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kadastrale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 xml:space="preserve"> në të cilën është planifikuar ndërtimi i një ndërtese banimi është 1.60 m, përveç nëse plani i zhvillimit të detajuar urban parashikon ndryshe.</w:t>
      </w:r>
    </w:p>
    <w:p w14:paraId="0747B707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Gardhi rrethuese mund të jetë transparent dhe i errët, dhe materializimi mund të jetë druri, guri, betoni, metali, gardhi jeshil ose një kombinim i këtyre materialeve.</w:t>
      </w:r>
    </w:p>
    <w:p w14:paraId="654543EF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Sipas hapësirave publike, gardhi rrethues duhet të jetë transparent, mbi një lartësi prej 60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cm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>, përveç nëse është vendosur një mbrojtje, dhe materialet duhet të jenë në përputhje me ambientin.</w:t>
      </w:r>
    </w:p>
    <w:p w14:paraId="2D4C111A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Sipas parcelave fqinje urbanistike gjegjësisht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kadastrale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>, gardhi rrethues mund të jetë i errët, me kusht që të mos kalojë lartësinë e përmendur në paragrafin 1 të këtij neni.</w:t>
      </w:r>
    </w:p>
    <w:p w14:paraId="5A38CDCA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Përjashtimisht, lartësia e gardhit rrethues të errët mund të jetë deri në 2 m, me pëlqimin e fqinjëve, dhe me kusht që siguria e trafikut në afërsi të menjëhershme të mos rrezikohet.</w:t>
      </w:r>
    </w:p>
    <w:p w14:paraId="503B92D4" w14:textId="77777777" w:rsidR="00644130" w:rsidRPr="00CA7261" w:rsidRDefault="00644130" w:rsidP="00644130">
      <w:pPr>
        <w:pStyle w:val="C30X"/>
        <w:rPr>
          <w:rFonts w:ascii="Garamond" w:hAnsi="Garamond"/>
          <w:lang w:val="sq-AL"/>
        </w:rPr>
      </w:pPr>
      <w:r w:rsidRPr="00CA7261">
        <w:rPr>
          <w:rFonts w:ascii="Garamond" w:hAnsi="Garamond"/>
          <w:lang w:val="sq-AL"/>
        </w:rPr>
        <w:t>Neni 9</w:t>
      </w:r>
    </w:p>
    <w:p w14:paraId="187C9DB1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Gardhe rrethuese deri në 2.20 m të larta mund të ndërtohen në parcela urbanistike gjegjësisht në të cilat është planifikuar ndërtimi i një objekti, qëllimi i të cilave është "ndërtimi i depove, shërbimeve dhe industrisë".</w:t>
      </w:r>
    </w:p>
    <w:p w14:paraId="7FBA5E7F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Në parcelën urbanistike gjegjësisht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kadastrale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 xml:space="preserve"> në të cilën është planifikuar ndërtimi i objekteve me qëllim të veçantë (diplomaci, siguri, mbrojtje, etj.), Gardhi rrethues është ndërtuar në përputhje me kërkesat e sigurisë së përdoruesve.</w:t>
      </w:r>
    </w:p>
    <w:p w14:paraId="2BC82E1E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Për objektet e përmendura në paragrafin 2 të këtij nenit, mund të lëshohet një miratim për vendosjen e një gardhi rrethues jashtë kufijve të parcelës urbanistike, nëse marrëdhëniet juridiko-pronësore janë zgjidhur,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dmth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 xml:space="preserve"> jepet pëlqimi i pronarit, në përputhje me kërkesat e sigurisë së përdoruesit.</w:t>
      </w:r>
    </w:p>
    <w:p w14:paraId="399DF1AA" w14:textId="77777777" w:rsidR="00644130" w:rsidRPr="00CA7261" w:rsidRDefault="00644130" w:rsidP="00644130">
      <w:pPr>
        <w:pStyle w:val="C30X"/>
        <w:rPr>
          <w:rFonts w:ascii="Garamond" w:hAnsi="Garamond"/>
          <w:lang w:val="sq-AL"/>
        </w:rPr>
      </w:pPr>
      <w:r w:rsidRPr="00CA7261">
        <w:rPr>
          <w:rFonts w:ascii="Garamond" w:hAnsi="Garamond"/>
          <w:lang w:val="sq-AL"/>
        </w:rPr>
        <w:lastRenderedPageBreak/>
        <w:t>Neni 10</w:t>
      </w:r>
    </w:p>
    <w:p w14:paraId="7B4CEC82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Objektet ndihmëse të tipit 1 duhet të vendosen gjegjësisht ndërtohen në mënyrë që të mos ndryshojnë rrjedhjet natyrore të ujit ose borës që bien nga çatitë në dëm të parcelave dhe pajisjeve fqinje.</w:t>
      </w:r>
    </w:p>
    <w:p w14:paraId="511A2AB1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Nuk lejohet vendosja gjegjësisht ndërtimi i objekteve ndihmëse të tipit 1 përgjatë rrugës përgjatë skajit të rrugës.</w:t>
      </w:r>
    </w:p>
    <w:p w14:paraId="73E49EB1" w14:textId="77777777" w:rsidR="00644130" w:rsidRPr="00CA7261" w:rsidRDefault="00644130" w:rsidP="00644130">
      <w:pPr>
        <w:pStyle w:val="C30X"/>
        <w:rPr>
          <w:rFonts w:ascii="Garamond" w:hAnsi="Garamond"/>
          <w:lang w:val="sq-AL"/>
        </w:rPr>
      </w:pPr>
      <w:r w:rsidRPr="00CA7261">
        <w:rPr>
          <w:rFonts w:ascii="Garamond" w:hAnsi="Garamond"/>
          <w:lang w:val="sq-AL"/>
        </w:rPr>
        <w:t>Neni 11</w:t>
      </w:r>
    </w:p>
    <w:p w14:paraId="24A8D6B3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Në territorin e Komunës së Tuzit, mbi të cilën nuk është ndërtuar infrastruktura komunale (ujësjellësi dhe kanalizimi), brenda parcelës urbanistike gjegjësisht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kadastrale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>, mund të ndërtohen objekte ndihmëse të tipit 2.</w:t>
      </w:r>
    </w:p>
    <w:p w14:paraId="7C41682A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Objektet ndihmëse të tipit 2: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pusetat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 xml:space="preserve">, dhomat e bojlerit, pajisjet e ngrohjes dhe ftohjes, sistemet e gazit dhe panelet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djellore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 xml:space="preserve"> mund të ndërtohen në të gjithë territorin e Komunës së Tuzit.</w:t>
      </w:r>
    </w:p>
    <w:p w14:paraId="74461CF9" w14:textId="77777777" w:rsidR="00644130" w:rsidRPr="00CA7261" w:rsidRDefault="00644130" w:rsidP="00644130">
      <w:pPr>
        <w:pStyle w:val="C30X"/>
        <w:rPr>
          <w:rFonts w:ascii="Garamond" w:hAnsi="Garamond"/>
          <w:lang w:val="sq-AL"/>
        </w:rPr>
      </w:pPr>
      <w:r w:rsidRPr="00CA7261">
        <w:rPr>
          <w:rFonts w:ascii="Garamond" w:hAnsi="Garamond"/>
          <w:lang w:val="sq-AL"/>
        </w:rPr>
        <w:t>Neni 12</w:t>
      </w:r>
    </w:p>
    <w:p w14:paraId="40D27744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Objektet ndihmëse të tipit 3 mund të vendosen gjegjësisht ndërtohen në mënyrë që të mos ndryshojnë rrjedhën natyrore të ujit në dëm të parcelave dhe pajisjeve fqinje.</w:t>
      </w:r>
    </w:p>
    <w:p w14:paraId="65363A73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Lartësia maksimale e murit mbajtës mund të jetë 2 m.</w:t>
      </w:r>
    </w:p>
    <w:p w14:paraId="6C6D4A4E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Sipas zonës publike, muri mbajtës duhet të trajtohet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estetikisht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 xml:space="preserve"> dhe të jetë i veshur me gur.</w:t>
      </w:r>
    </w:p>
    <w:p w14:paraId="37C88E31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</w:p>
    <w:p w14:paraId="2403D162" w14:textId="77777777" w:rsidR="00644130" w:rsidRPr="00CA7261" w:rsidRDefault="00644130" w:rsidP="00644130">
      <w:pPr>
        <w:pStyle w:val="T30X"/>
        <w:ind w:firstLine="0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CA7261">
        <w:rPr>
          <w:rFonts w:ascii="Garamond" w:hAnsi="Garamond"/>
          <w:b/>
          <w:bCs/>
          <w:sz w:val="24"/>
          <w:szCs w:val="24"/>
          <w:lang w:val="sq-AL"/>
        </w:rPr>
        <w:t xml:space="preserve">IV PROCEDURA PËR VENDOSJEN GJEGJËSISHT NDËRTIMIN E OBJEKTEVE NDIHMSE  </w:t>
      </w:r>
    </w:p>
    <w:p w14:paraId="41845F70" w14:textId="77777777" w:rsidR="00644130" w:rsidRPr="00CA7261" w:rsidRDefault="00644130" w:rsidP="00644130">
      <w:pPr>
        <w:pStyle w:val="C30X"/>
        <w:rPr>
          <w:rFonts w:ascii="Garamond" w:hAnsi="Garamond"/>
          <w:lang w:val="sq-AL"/>
        </w:rPr>
      </w:pPr>
      <w:r w:rsidRPr="00CA7261">
        <w:rPr>
          <w:rFonts w:ascii="Garamond" w:hAnsi="Garamond"/>
          <w:lang w:val="sq-AL"/>
        </w:rPr>
        <w:t>Neni 13</w:t>
      </w:r>
    </w:p>
    <w:p w14:paraId="0E4E266E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Organi i administratës lokale përgjegjës për planifikimin dhe rregullimin hapësinor lëshon kushtet për ngritjen gjegjësisht ndërtimin e një objekti ndihmës</w:t>
      </w:r>
    </w:p>
    <w:p w14:paraId="6724FC29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Kushtet për vendosjen gjegjësisht ndërtimin lëshohen brenda 15 (pesëmbëdhjetë) ditëve nga data e paraqitjes së kërkesës.</w:t>
      </w:r>
    </w:p>
    <w:p w14:paraId="10EAA590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Në kërkesën e përmendur në paragrafin 1 të këtij neni, përveç të dhënave të përshkruara nga ligji që rregullon procedurën administrative, duhet të dorëzohet një listë e pasurive të paluajtshme dhe një kopje e planit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kadastral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>.</w:t>
      </w:r>
    </w:p>
    <w:p w14:paraId="14DE31AC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Kushtet e lëshuara nga autoritetet kompetente dhe personat e tjerë juridikë sipas rregulloreve të veçanta, të cilat janë të nevojshme për përgatitjen e dokumentacionit teknik, merren sipas detyrës zyrtare nga organi i qeverisjes vendore nga autoritetet kompetente dhe personat juridikë.</w:t>
      </w:r>
    </w:p>
    <w:p w14:paraId="2B245B58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Nëse autoritetet kompetente, gjegjësisht personat juridikë nuk paraqesin kushtet e referuara në paragrafin 4 të këtij nenit brenda 10 (dhjetë) ditëve nga dita e marrjes së kërkesës për paraqitjen e tyre, do të konsiderohet se pajtohen me kushtet e përcaktuara në bazë të këtij vendimi.</w:t>
      </w:r>
    </w:p>
    <w:p w14:paraId="2CD0F9DD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Kërkesa për lëshimin e kushteve dhe kushtet e lëshuara me shkrim do të publikohen në faqen e internetit të organit të qeverisjes vendore, brenda 7 (shtatë) ditëve nga dita e paraqitjes së kërkesës ose lëshimit.</w:t>
      </w:r>
    </w:p>
    <w:p w14:paraId="680E6448" w14:textId="77777777" w:rsidR="00644130" w:rsidRPr="00CA7261" w:rsidRDefault="00644130" w:rsidP="00644130">
      <w:pPr>
        <w:pStyle w:val="C30X"/>
        <w:rPr>
          <w:rFonts w:ascii="Garamond" w:hAnsi="Garamond"/>
          <w:lang w:val="sq-AL"/>
        </w:rPr>
      </w:pPr>
      <w:r w:rsidRPr="00CA7261">
        <w:rPr>
          <w:rFonts w:ascii="Garamond" w:hAnsi="Garamond"/>
          <w:lang w:val="sq-AL"/>
        </w:rPr>
        <w:t>Neni 14</w:t>
      </w:r>
    </w:p>
    <w:p w14:paraId="0B2A0590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Dokumentacioni teknik për vendosjen gjegjësisht ndërtimin e një objekti ndihmës përgatitet nga një kompani, person juridik ose sipërmarrës i cili plotëson kërkesat e parashikuara nga Ligji për planifikimin hapësinor dhe ndërtimin e objekteve për kryerjen e dokumentacionit teknik.</w:t>
      </w:r>
    </w:p>
    <w:p w14:paraId="66240BE6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Dokumentacioni teknik përgatitet në bazë të kushteve të lëshuara në përputhje me këtë vendim.</w:t>
      </w:r>
    </w:p>
    <w:p w14:paraId="0FE9654D" w14:textId="77777777" w:rsidR="00644130" w:rsidRPr="00CA7261" w:rsidRDefault="00644130" w:rsidP="00644130">
      <w:pPr>
        <w:pStyle w:val="T30X"/>
        <w:ind w:firstLine="0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   Dokumentacioni teknik për ndërtimin e një objekti ndihmës është përgatitur në nivelin e dizajnit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konceptual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>, pra të projektit.</w:t>
      </w:r>
    </w:p>
    <w:p w14:paraId="07E00049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Dokumentacioni teknik për vendosjen e objektit ndihmës përbëhet nga një paraqitje grafike e vendndodhjes dhe objektit mbi bazën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kadastrale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 xml:space="preserve"> të shkallës së duhur dhe dokumentacionit shoqërues të prodhuesit dhe certifikatës.</w:t>
      </w:r>
    </w:p>
    <w:p w14:paraId="3777A4AC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Pavarësisht nga dispozitat e paragrafit 1 të këtij nenit, dokumentacioni teknik për vendosjen një objekti ndihmës që është instaluar si një produkt i përfunduar, gjegjësisht i cili është i bërë në fabrikë, përbën një model standard të marrë nga prodhuesi.</w:t>
      </w:r>
    </w:p>
    <w:p w14:paraId="03F51E26" w14:textId="77777777" w:rsidR="00644130" w:rsidRPr="00CA7261" w:rsidRDefault="00644130" w:rsidP="00644130">
      <w:pPr>
        <w:pStyle w:val="C30X"/>
        <w:rPr>
          <w:rFonts w:ascii="Garamond" w:hAnsi="Garamond"/>
          <w:lang w:val="sq-AL"/>
        </w:rPr>
      </w:pPr>
    </w:p>
    <w:p w14:paraId="6D924C1A" w14:textId="77777777" w:rsidR="00644130" w:rsidRPr="00CA7261" w:rsidRDefault="00644130" w:rsidP="00644130">
      <w:pPr>
        <w:pStyle w:val="C30X"/>
        <w:rPr>
          <w:rFonts w:ascii="Garamond" w:hAnsi="Garamond"/>
          <w:lang w:val="sq-AL"/>
        </w:rPr>
      </w:pPr>
    </w:p>
    <w:p w14:paraId="207E7968" w14:textId="77777777" w:rsidR="00644130" w:rsidRPr="00CA7261" w:rsidRDefault="00644130" w:rsidP="00644130">
      <w:pPr>
        <w:pStyle w:val="C30X"/>
        <w:rPr>
          <w:rFonts w:ascii="Garamond" w:hAnsi="Garamond"/>
          <w:lang w:val="sq-AL"/>
        </w:rPr>
      </w:pPr>
    </w:p>
    <w:p w14:paraId="2F045D47" w14:textId="77777777" w:rsidR="00644130" w:rsidRPr="00CA7261" w:rsidRDefault="00644130" w:rsidP="00644130">
      <w:pPr>
        <w:pStyle w:val="C30X"/>
        <w:rPr>
          <w:rFonts w:ascii="Garamond" w:hAnsi="Garamond"/>
          <w:lang w:val="sq-AL"/>
        </w:rPr>
      </w:pPr>
      <w:r w:rsidRPr="00CA7261">
        <w:rPr>
          <w:rFonts w:ascii="Garamond" w:hAnsi="Garamond"/>
          <w:lang w:val="sq-AL"/>
        </w:rPr>
        <w:t>Neni 15</w:t>
      </w:r>
    </w:p>
    <w:p w14:paraId="557B461B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Objekti ndihmës ngrihet ose ndërtohet në bazë të miratimit të organit kompetent të administratës lokale për planifikimin dhe rregullimin hapësinor.</w:t>
      </w:r>
    </w:p>
    <w:p w14:paraId="753D676D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Miratimi i përmendur në paragrafin 1 të këtij neni lëshohet në bazë të dokumentacionit vijues:</w:t>
      </w:r>
    </w:p>
    <w:p w14:paraId="4FB5B6D5" w14:textId="77777777" w:rsidR="00644130" w:rsidRPr="00CA7261" w:rsidRDefault="00644130" w:rsidP="00644130">
      <w:pPr>
        <w:pStyle w:val="T30X"/>
        <w:ind w:left="567" w:hanging="283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1) dëshmi e së drejtës së pronësisë, përkatësisht e drejta tjetër në tokën ndërtimore dhe kopjet e planit;</w:t>
      </w:r>
    </w:p>
    <w:p w14:paraId="0933FB80" w14:textId="77777777" w:rsidR="00644130" w:rsidRPr="00CA7261" w:rsidRDefault="00644130" w:rsidP="00644130">
      <w:pPr>
        <w:pStyle w:val="T30X"/>
        <w:ind w:left="567" w:hanging="283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2) kushteve për ngritjen ose ndërtimin e një objekti ndihmës;</w:t>
      </w:r>
    </w:p>
    <w:p w14:paraId="2A44031E" w14:textId="77777777" w:rsidR="00644130" w:rsidRPr="00CA7261" w:rsidRDefault="00644130" w:rsidP="00644130">
      <w:pPr>
        <w:pStyle w:val="T30X"/>
        <w:ind w:left="567" w:hanging="283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3) dokumentacioni teknik i bërë në përputhje me kushtet e bëra në katër kopje, dy prej të cilave janë në një formë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dixhitale</w:t>
      </w:r>
      <w:proofErr w:type="spellEnd"/>
      <w:r w:rsidRPr="00CA7261">
        <w:rPr>
          <w:rFonts w:ascii="Garamond" w:hAnsi="Garamond"/>
          <w:sz w:val="24"/>
          <w:szCs w:val="24"/>
          <w:lang w:val="sq-AL"/>
        </w:rPr>
        <w:t xml:space="preserve"> të mbrojtur;</w:t>
      </w:r>
    </w:p>
    <w:p w14:paraId="0E38506C" w14:textId="77777777" w:rsidR="00644130" w:rsidRPr="00CA7261" w:rsidRDefault="00644130" w:rsidP="00644130">
      <w:pPr>
        <w:pStyle w:val="T30X"/>
        <w:ind w:left="567" w:hanging="283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4) lista e pasurive të patundshme pa pengesa dhe kufizime ose leje ndërtimi / lejes së nevojshme për objektin përdorimi i të cilit shërben nga struktura ndihmëse, përveç gardheve dhe mureve mbajtëse.</w:t>
      </w:r>
    </w:p>
    <w:p w14:paraId="2171ED64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5) pëlqimet, mendimet dhe provat e tjera të përcaktuara me rregullore të veçanta.</w:t>
      </w:r>
    </w:p>
    <w:p w14:paraId="2AACEAF9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Provat e përmendura në paragrafin 2, pikat 2 dhe 5 të këtij neni merren nga organi kompetent për lëshimin e miratimeve për instalimin ose ndërtimin e një objekti ndihmës sipas detyrës zyrtare.</w:t>
      </w:r>
    </w:p>
    <w:p w14:paraId="46BF1D89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Nëse organi kompetent ose institucionet kompetente nuk paraqesin provat e përmendura në paragrafin 2, pika 3 të këtij neni brenda 10 (dhjetë) ditëve nga dita e marrjes së kërkesës për paraqitjen e tyre, ata do të konsiderohet se pajtohen me dokumentacionin teknik të paraqitur.</w:t>
      </w:r>
    </w:p>
    <w:p w14:paraId="2CDCEAC3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Miratimi nga paragrafi 1 i këtij neni lëshohet me vendim brenda 15 (pesëmbëdhjetë) ditëve nga dita e paraqitjes së kërkesës nëse plotësohen të gjitha kushtet e përcaktuara në paragrafin 2 të këtij neni.</w:t>
      </w:r>
    </w:p>
    <w:p w14:paraId="3226F416" w14:textId="77777777" w:rsidR="00644130" w:rsidRPr="00CA7261" w:rsidRDefault="00644130" w:rsidP="00644130">
      <w:pPr>
        <w:pStyle w:val="C30X"/>
        <w:jc w:val="left"/>
        <w:rPr>
          <w:rFonts w:ascii="Garamond" w:hAnsi="Garamond"/>
          <w:b w:val="0"/>
          <w:lang w:val="sq-AL"/>
        </w:rPr>
      </w:pPr>
      <w:r w:rsidRPr="00CA7261">
        <w:rPr>
          <w:rFonts w:ascii="Garamond" w:hAnsi="Garamond"/>
          <w:b w:val="0"/>
          <w:lang w:val="sq-AL"/>
        </w:rPr>
        <w:t xml:space="preserve">Kërkesa për lëshimin e miratimit dhe miratimi publikohet në faqen e internetit të organit të administratës </w:t>
      </w:r>
      <w:proofErr w:type="spellStart"/>
      <w:r w:rsidRPr="00CA7261">
        <w:rPr>
          <w:rFonts w:ascii="Garamond" w:hAnsi="Garamond"/>
          <w:b w:val="0"/>
          <w:lang w:val="sq-AL"/>
        </w:rPr>
        <w:t>loakle</w:t>
      </w:r>
      <w:proofErr w:type="spellEnd"/>
      <w:r w:rsidRPr="00CA7261">
        <w:rPr>
          <w:rFonts w:ascii="Garamond" w:hAnsi="Garamond"/>
          <w:b w:val="0"/>
          <w:lang w:val="sq-AL"/>
        </w:rPr>
        <w:t>, brenda shtatë ditëve nga dita e paraqitjes së aplikimit ose lëshimit.</w:t>
      </w:r>
    </w:p>
    <w:p w14:paraId="1B6EC124" w14:textId="77777777" w:rsidR="00644130" w:rsidRPr="00CA7261" w:rsidRDefault="00644130" w:rsidP="00644130">
      <w:pPr>
        <w:pStyle w:val="C30X"/>
        <w:rPr>
          <w:rFonts w:ascii="Garamond" w:hAnsi="Garamond"/>
          <w:lang w:val="sq-AL"/>
        </w:rPr>
      </w:pPr>
      <w:r w:rsidRPr="00CA7261">
        <w:rPr>
          <w:rFonts w:ascii="Garamond" w:hAnsi="Garamond"/>
          <w:lang w:val="sq-AL"/>
        </w:rPr>
        <w:t>Neni 16</w:t>
      </w:r>
    </w:p>
    <w:p w14:paraId="02F4510E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Investitori është i detyruar të fillojë instalimin ose ndërtimin e objektit ndihmës brenda gjashtë muajve nga data e lëshimit të lejes.</w:t>
      </w:r>
    </w:p>
    <w:p w14:paraId="71D64ACB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Nëse investitori nuk fillon ndërtimin ose ngritjen e objektit ndihmës brenda periudhës së përmendur në paragrafin 1 të këtij neni, e drejta e tij për të ngritur ose ndërtuar objektin pas miratimit të lëshuar do të pushojë.</w:t>
      </w:r>
    </w:p>
    <w:p w14:paraId="45003D3E" w14:textId="77777777" w:rsidR="00644130" w:rsidRPr="00CA7261" w:rsidRDefault="00644130" w:rsidP="00644130">
      <w:pPr>
        <w:pStyle w:val="T30X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CA7261">
        <w:rPr>
          <w:rFonts w:ascii="Garamond" w:hAnsi="Garamond"/>
          <w:b/>
          <w:bCs/>
          <w:sz w:val="24"/>
          <w:szCs w:val="24"/>
          <w:lang w:val="sq-AL"/>
        </w:rPr>
        <w:t>V MBIKËQYRJA</w:t>
      </w:r>
    </w:p>
    <w:p w14:paraId="353A48DE" w14:textId="77777777" w:rsidR="00644130" w:rsidRPr="00CA7261" w:rsidRDefault="00644130" w:rsidP="00644130">
      <w:pPr>
        <w:pStyle w:val="C30X"/>
        <w:rPr>
          <w:rFonts w:ascii="Garamond" w:hAnsi="Garamond"/>
          <w:lang w:val="sq-AL"/>
        </w:rPr>
      </w:pPr>
      <w:r w:rsidRPr="00CA7261">
        <w:rPr>
          <w:rFonts w:ascii="Garamond" w:hAnsi="Garamond"/>
          <w:lang w:val="sq-AL"/>
        </w:rPr>
        <w:t>Neni 17</w:t>
      </w:r>
    </w:p>
    <w:p w14:paraId="180A4238" w14:textId="77777777" w:rsidR="00644130" w:rsidRPr="00CA7261" w:rsidRDefault="00644130" w:rsidP="00644130">
      <w:pPr>
        <w:pStyle w:val="C30X"/>
        <w:jc w:val="both"/>
        <w:rPr>
          <w:rFonts w:ascii="Garamond" w:hAnsi="Garamond"/>
          <w:b w:val="0"/>
          <w:lang w:val="sq-AL"/>
        </w:rPr>
      </w:pPr>
      <w:r w:rsidRPr="00CA7261">
        <w:rPr>
          <w:rFonts w:ascii="Garamond" w:hAnsi="Garamond"/>
          <w:b w:val="0"/>
          <w:lang w:val="sq-AL"/>
        </w:rPr>
        <w:t>Mbikëqyrja mbi zbatimin e këtij vendimi kryhet nga organi i administratës lokale përgjegjës për planifikimin dhe rregullimin hapësinor.</w:t>
      </w:r>
    </w:p>
    <w:p w14:paraId="5C9B2274" w14:textId="77777777" w:rsidR="00644130" w:rsidRPr="00CA7261" w:rsidRDefault="00644130" w:rsidP="00644130">
      <w:pPr>
        <w:pStyle w:val="C30X"/>
        <w:rPr>
          <w:rFonts w:ascii="Garamond" w:hAnsi="Garamond"/>
          <w:lang w:val="sq-AL"/>
        </w:rPr>
      </w:pPr>
      <w:r w:rsidRPr="00CA7261">
        <w:rPr>
          <w:rFonts w:ascii="Garamond" w:hAnsi="Garamond"/>
          <w:lang w:val="sq-AL"/>
        </w:rPr>
        <w:t>Neni 18</w:t>
      </w:r>
    </w:p>
    <w:p w14:paraId="46859A40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Mbikëqyrja inspektuese mbi zbatimin e këtij vendimi kryhet nga Shërbimi i policisë komunale dhe shërbimi i inspektimit komunal.</w:t>
      </w:r>
    </w:p>
    <w:p w14:paraId="0E7B687D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Kur përcakton që një objekt ndihmës po ngrihet ose ndërtohet pa leje ose se po ngrihet ose ndërtohet në kundërshtim me miratimin e lëshuar, Inspektori Komunal ka detyrimin dhe autoritetin të urdhërojë prishjen e objektit ndihmës.</w:t>
      </w:r>
    </w:p>
    <w:p w14:paraId="2F6431B8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Shpenzimet e rrënimit të përmendura në paragrafin 2 të këtij neni do të barten nga pronari ose përdoruesi i objektit ndihmës.</w:t>
      </w:r>
    </w:p>
    <w:p w14:paraId="31D41D10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</w:p>
    <w:p w14:paraId="316BB1A6" w14:textId="77777777" w:rsidR="00644130" w:rsidRPr="00CA7261" w:rsidRDefault="00644130" w:rsidP="00644130">
      <w:pPr>
        <w:pStyle w:val="T30X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CA7261">
        <w:rPr>
          <w:rFonts w:ascii="Garamond" w:hAnsi="Garamond"/>
          <w:b/>
          <w:bCs/>
          <w:sz w:val="24"/>
          <w:szCs w:val="24"/>
          <w:lang w:val="sq-AL"/>
        </w:rPr>
        <w:t>VI DISPOZITAT NDËSHKUESE</w:t>
      </w:r>
    </w:p>
    <w:p w14:paraId="0B8B080C" w14:textId="77777777" w:rsidR="00644130" w:rsidRPr="00CA7261" w:rsidRDefault="00644130" w:rsidP="00644130">
      <w:pPr>
        <w:pStyle w:val="C30X"/>
        <w:rPr>
          <w:rFonts w:ascii="Garamond" w:hAnsi="Garamond"/>
          <w:lang w:val="sq-AL"/>
        </w:rPr>
      </w:pPr>
      <w:r w:rsidRPr="00CA7261">
        <w:rPr>
          <w:rFonts w:ascii="Garamond" w:hAnsi="Garamond"/>
          <w:lang w:val="sq-AL"/>
        </w:rPr>
        <w:t>Neni 19</w:t>
      </w:r>
    </w:p>
    <w:p w14:paraId="6FC0668F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</w:p>
    <w:p w14:paraId="432B709D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Gjoba në shumë prej 500,00 € deri 10,000 € do t'i shqiptohet personit juridik për kundërvajtje nëse: ndryshon qëllimin e objekteve ndihmëse, në objekte banimi ose afarizmi (neni 3, paragrafi 2).Një gjobë në shumë prej 300,00 € deri në 3,000,00 € do t'i shqiptohet sipërmarrësit për kundërvajtjen e përmendur në paragrafin 1 të këtij neni.</w:t>
      </w:r>
    </w:p>
    <w:p w14:paraId="748C09D4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lastRenderedPageBreak/>
        <w:t>Do të dënohet me gjobë në shumë prej 100,00 € deri 1000,00 € personi përgjegjës në personin juridik dhe personi fizik për kundërvajtjen e përmendur në paragrafin 1 të këtij neni.</w:t>
      </w:r>
    </w:p>
    <w:p w14:paraId="3B61FF34" w14:textId="77777777" w:rsidR="00644130" w:rsidRPr="00CA7261" w:rsidRDefault="00644130" w:rsidP="00644130">
      <w:pPr>
        <w:pStyle w:val="T30X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CA7261">
        <w:rPr>
          <w:rFonts w:ascii="Garamond" w:hAnsi="Garamond"/>
          <w:b/>
          <w:bCs/>
          <w:sz w:val="24"/>
          <w:szCs w:val="24"/>
          <w:lang w:val="sq-AL"/>
        </w:rPr>
        <w:t xml:space="preserve">VII DISPOZITAT PËRFUNDIMTARE </w:t>
      </w:r>
    </w:p>
    <w:p w14:paraId="39884B07" w14:textId="77777777" w:rsidR="00644130" w:rsidRPr="00CA7261" w:rsidRDefault="00644130" w:rsidP="00644130">
      <w:pPr>
        <w:pStyle w:val="C30X"/>
        <w:rPr>
          <w:rFonts w:ascii="Garamond" w:hAnsi="Garamond"/>
          <w:lang w:val="sq-AL"/>
        </w:rPr>
      </w:pPr>
      <w:r w:rsidRPr="00CA7261">
        <w:rPr>
          <w:rFonts w:ascii="Garamond" w:hAnsi="Garamond"/>
          <w:lang w:val="sq-AL"/>
        </w:rPr>
        <w:t>Neni 20</w:t>
      </w:r>
    </w:p>
    <w:p w14:paraId="3CB31CEA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Ky vendim hyn në fuqi ditën e tetë prej ditës së publikimit në “Fletën Zyrtare të MZ – dispozitat komunale”. </w:t>
      </w:r>
    </w:p>
    <w:p w14:paraId="3E6920E3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Numër:_________</w:t>
      </w:r>
    </w:p>
    <w:p w14:paraId="621F832C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Tuz,___________</w:t>
      </w:r>
    </w:p>
    <w:p w14:paraId="6DF81F99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 </w:t>
      </w:r>
    </w:p>
    <w:p w14:paraId="62E13102" w14:textId="77777777" w:rsidR="00644130" w:rsidRPr="00CA7261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Kuvendi i Komunës së Tuzit </w:t>
      </w:r>
    </w:p>
    <w:p w14:paraId="74220073" w14:textId="77777777" w:rsidR="00644130" w:rsidRPr="00CA7261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Kryetari</w:t>
      </w:r>
    </w:p>
    <w:p w14:paraId="57783D1A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 xml:space="preserve">Fadil </w:t>
      </w:r>
      <w:proofErr w:type="spellStart"/>
      <w:r w:rsidRPr="00CA7261">
        <w:rPr>
          <w:rFonts w:ascii="Garamond" w:hAnsi="Garamond"/>
          <w:sz w:val="24"/>
          <w:szCs w:val="24"/>
          <w:lang w:val="sq-AL"/>
        </w:rPr>
        <w:t>Kajoshaj</w:t>
      </w:r>
      <w:proofErr w:type="spellEnd"/>
    </w:p>
    <w:p w14:paraId="3ACCFC11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64EEE80C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3C490653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5884828E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6E916AB5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5BB79BE3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2DE4304D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261DD5D6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61A140BE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023D963D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0FB95424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53DDA27A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78AEF20A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6A887406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0FD7F6E7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6B27C4E5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6FB9823F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3AC68ADF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6DCA5AB6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0706DFD2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2DC53DC0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02DECD04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386BB2E6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16BAEDFD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1C48B185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2BCEEE0B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3C8EF4B6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534EC65A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101C5B8A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2AF085BD" w14:textId="77777777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68477DDF" w14:textId="77777777" w:rsidR="00644130" w:rsidRPr="00CA7261" w:rsidRDefault="00644130" w:rsidP="00644130">
      <w:pPr>
        <w:pStyle w:val="T30X"/>
        <w:jc w:val="center"/>
        <w:rPr>
          <w:rFonts w:ascii="Garamond" w:hAnsi="Garamond"/>
          <w:sz w:val="24"/>
          <w:szCs w:val="24"/>
          <w:lang w:val="sq-AL"/>
        </w:rPr>
      </w:pPr>
    </w:p>
    <w:p w14:paraId="19B4C887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</w:p>
    <w:p w14:paraId="477DA7D4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</w:p>
    <w:p w14:paraId="3A9C401D" w14:textId="77777777" w:rsidR="00644130" w:rsidRPr="00CA7261" w:rsidRDefault="00644130" w:rsidP="00644130">
      <w:pPr>
        <w:spacing w:line="240" w:lineRule="atLeast"/>
        <w:ind w:right="80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CA7261">
        <w:rPr>
          <w:rFonts w:ascii="Garamond" w:hAnsi="Garamond"/>
          <w:b/>
          <w:bCs/>
          <w:sz w:val="24"/>
          <w:szCs w:val="24"/>
          <w:lang w:val="sq-AL"/>
        </w:rPr>
        <w:lastRenderedPageBreak/>
        <w:t>ARSYETIMI I VENDIMIT MBI VENDOSJEN GJEGJËSISHT NDËRTIMIN DHE ZHVENDOSJEN E OBJEKTEVE NDIHMËSE</w:t>
      </w:r>
    </w:p>
    <w:p w14:paraId="1754790C" w14:textId="77777777" w:rsidR="00644130" w:rsidRPr="00CA7261" w:rsidRDefault="00644130" w:rsidP="00644130">
      <w:pPr>
        <w:spacing w:line="252" w:lineRule="exact"/>
        <w:rPr>
          <w:rFonts w:ascii="Garamond" w:hAnsi="Garamond"/>
          <w:sz w:val="24"/>
          <w:szCs w:val="24"/>
          <w:lang w:val="sq-AL"/>
        </w:rPr>
      </w:pPr>
    </w:p>
    <w:p w14:paraId="1EB4730A" w14:textId="77777777" w:rsidR="00644130" w:rsidRPr="00CA7261" w:rsidRDefault="00644130" w:rsidP="00644130">
      <w:pPr>
        <w:spacing w:line="240" w:lineRule="atLeast"/>
        <w:rPr>
          <w:rFonts w:ascii="Garamond" w:hAnsi="Garamond"/>
          <w:b/>
          <w:sz w:val="24"/>
          <w:szCs w:val="24"/>
          <w:lang w:val="sq-AL"/>
        </w:rPr>
      </w:pPr>
      <w:r w:rsidRPr="00CA7261">
        <w:rPr>
          <w:rFonts w:ascii="Garamond" w:hAnsi="Garamond"/>
          <w:b/>
          <w:sz w:val="24"/>
          <w:szCs w:val="24"/>
          <w:lang w:val="sq-AL"/>
        </w:rPr>
        <w:t>BAZA LIGJORE</w:t>
      </w:r>
    </w:p>
    <w:p w14:paraId="0BAE0A85" w14:textId="77777777" w:rsidR="00644130" w:rsidRPr="00CA7261" w:rsidRDefault="00644130" w:rsidP="00644130">
      <w:pPr>
        <w:spacing w:line="263" w:lineRule="auto"/>
        <w:jc w:val="both"/>
        <w:rPr>
          <w:rFonts w:ascii="Garamond" w:hAnsi="Garamond"/>
          <w:bCs/>
          <w:sz w:val="24"/>
          <w:szCs w:val="24"/>
          <w:lang w:val="sq-AL"/>
        </w:rPr>
      </w:pPr>
      <w:r w:rsidRPr="00CA7261">
        <w:rPr>
          <w:rFonts w:ascii="Garamond" w:hAnsi="Garamond"/>
          <w:bCs/>
          <w:sz w:val="24"/>
          <w:szCs w:val="24"/>
          <w:lang w:val="sq-AL"/>
        </w:rPr>
        <w:t>Baza ligjore mbi Vendimin mbi vendosjen gjegjësisht ndërtimin dhe zhvendosjen e objekteve ndihmëse përmbahet në nenet 118, 119 dhe 120 dhe nenin 223 paragrafi 1 të Ligjit mbi planifikimin hapësinor dhe ndërtimin e objekteve ("Fleta zyrtare e Malit Zi", nr. 64/17, 44 / 18, 63/18, 11/19 dhe 82/20) i cili përshkruan termin objektet ndihmëse, llojet e objekteve ndihmëse, si dhe kushtet për vendosje ose ndërtimin e objekteve ndihmëse.</w:t>
      </w:r>
    </w:p>
    <w:p w14:paraId="2ED65986" w14:textId="77777777" w:rsidR="00644130" w:rsidRPr="00CA7261" w:rsidRDefault="00644130" w:rsidP="00644130">
      <w:pPr>
        <w:spacing w:line="240" w:lineRule="atLeast"/>
        <w:rPr>
          <w:rFonts w:ascii="Garamond" w:hAnsi="Garamond"/>
          <w:b/>
          <w:sz w:val="24"/>
          <w:szCs w:val="24"/>
          <w:lang w:val="sq-AL"/>
        </w:rPr>
      </w:pPr>
    </w:p>
    <w:p w14:paraId="70352EE9" w14:textId="77777777" w:rsidR="00644130" w:rsidRPr="00CA7261" w:rsidRDefault="00644130" w:rsidP="00644130">
      <w:pPr>
        <w:spacing w:line="240" w:lineRule="atLeast"/>
        <w:rPr>
          <w:rFonts w:ascii="Garamond" w:hAnsi="Garamond"/>
          <w:b/>
          <w:sz w:val="24"/>
          <w:szCs w:val="24"/>
          <w:lang w:val="sq-AL"/>
        </w:rPr>
      </w:pPr>
      <w:r w:rsidRPr="00CA7261">
        <w:rPr>
          <w:rFonts w:ascii="Garamond" w:hAnsi="Garamond"/>
          <w:b/>
          <w:sz w:val="24"/>
          <w:szCs w:val="24"/>
          <w:lang w:val="sq-AL"/>
        </w:rPr>
        <w:t>ARSYET PER SJELLJEN E VENDIMIT</w:t>
      </w:r>
    </w:p>
    <w:p w14:paraId="43559A8E" w14:textId="77777777" w:rsidR="00644130" w:rsidRPr="00CA7261" w:rsidRDefault="00644130" w:rsidP="00644130">
      <w:pPr>
        <w:spacing w:line="240" w:lineRule="atLeast"/>
        <w:jc w:val="both"/>
        <w:rPr>
          <w:rFonts w:ascii="Garamond" w:hAnsi="Garamond"/>
          <w:sz w:val="24"/>
          <w:szCs w:val="24"/>
          <w:lang w:val="sq-AL"/>
        </w:rPr>
      </w:pPr>
      <w:r w:rsidRPr="00CA7261">
        <w:rPr>
          <w:rFonts w:ascii="Garamond" w:hAnsi="Garamond"/>
          <w:sz w:val="24"/>
          <w:szCs w:val="24"/>
          <w:lang w:val="sq-AL"/>
        </w:rPr>
        <w:t>Neni 223, paragrafi 1 i Ligjit mbi planifikimin hapësinor dhe ndërtimin e objekteve (“Fleta zyrtare e Malit të Zi”, nr. 64/17, 44/18, 63/18 dhe 11/19) përcakton se rregulloret e njësisë së vetëqeverisjes lokale, me të cila rregullohen  objektet ndihmëse do të zbatohen deri në miratimin e planit të rregullimit të përgjithshëm të Malit të Zi. Neni 38, pika 2 e Ligjit mbi vetëqeverisjen lokale dhe meni 53, paragrafi 1, pika 2 e Statutit të Komunës së Tuzit përcaktojnë autorizimin e Kuvendit për sjelljen e rregulloreve.</w:t>
      </w:r>
    </w:p>
    <w:p w14:paraId="46170171" w14:textId="77777777" w:rsidR="00644130" w:rsidRPr="00CA7261" w:rsidRDefault="00644130" w:rsidP="00644130">
      <w:pPr>
        <w:spacing w:line="240" w:lineRule="atLeast"/>
        <w:rPr>
          <w:rFonts w:ascii="Garamond" w:hAnsi="Garamond"/>
          <w:sz w:val="24"/>
          <w:szCs w:val="24"/>
          <w:lang w:val="sq-AL"/>
        </w:rPr>
      </w:pPr>
    </w:p>
    <w:p w14:paraId="7B9F2D4E" w14:textId="77777777" w:rsidR="00644130" w:rsidRPr="00CA7261" w:rsidRDefault="00644130" w:rsidP="00644130">
      <w:pPr>
        <w:spacing w:line="240" w:lineRule="atLeast"/>
        <w:rPr>
          <w:rFonts w:ascii="Garamond" w:hAnsi="Garamond"/>
          <w:b/>
          <w:sz w:val="24"/>
          <w:szCs w:val="24"/>
          <w:lang w:val="sq-AL"/>
        </w:rPr>
      </w:pPr>
      <w:r w:rsidRPr="00CA7261">
        <w:rPr>
          <w:rFonts w:ascii="Garamond" w:hAnsi="Garamond"/>
          <w:b/>
          <w:sz w:val="24"/>
          <w:szCs w:val="24"/>
          <w:lang w:val="sq-AL"/>
        </w:rPr>
        <w:t>SQARIMI I KAPITULLIT Të VENDIMIT</w:t>
      </w:r>
    </w:p>
    <w:p w14:paraId="249A00B3" w14:textId="77777777" w:rsidR="00644130" w:rsidRPr="00CA7261" w:rsidRDefault="00644130" w:rsidP="00644130">
      <w:pPr>
        <w:spacing w:line="279" w:lineRule="exact"/>
        <w:rPr>
          <w:rFonts w:ascii="Garamond" w:hAnsi="Garamond"/>
          <w:sz w:val="24"/>
          <w:szCs w:val="24"/>
          <w:lang w:val="sq-AL"/>
        </w:rPr>
      </w:pPr>
    </w:p>
    <w:p w14:paraId="43199424" w14:textId="77777777" w:rsidR="00644130" w:rsidRPr="00CA7261" w:rsidRDefault="00644130" w:rsidP="00644130">
      <w:pPr>
        <w:spacing w:line="240" w:lineRule="atLeast"/>
        <w:rPr>
          <w:rFonts w:ascii="Garamond" w:hAnsi="Garamond"/>
          <w:b/>
          <w:sz w:val="24"/>
          <w:szCs w:val="24"/>
          <w:lang w:val="sq-AL"/>
        </w:rPr>
      </w:pPr>
      <w:r w:rsidRPr="00CA7261">
        <w:rPr>
          <w:rFonts w:ascii="Garamond" w:hAnsi="Garamond"/>
          <w:b/>
          <w:sz w:val="24"/>
          <w:szCs w:val="24"/>
          <w:lang w:val="sq-AL"/>
        </w:rPr>
        <w:t>I DISPOZITAT E PËRGJITHËSHME</w:t>
      </w:r>
    </w:p>
    <w:p w14:paraId="4754FCFF" w14:textId="77777777" w:rsidR="00644130" w:rsidRPr="00CA7261" w:rsidRDefault="00644130" w:rsidP="00644130">
      <w:pPr>
        <w:spacing w:line="240" w:lineRule="atLeast"/>
        <w:rPr>
          <w:rFonts w:ascii="Garamond" w:hAnsi="Garamond"/>
          <w:bCs/>
          <w:sz w:val="24"/>
          <w:szCs w:val="24"/>
          <w:lang w:val="sq-AL"/>
        </w:rPr>
      </w:pPr>
      <w:r w:rsidRPr="00CA7261">
        <w:rPr>
          <w:rFonts w:ascii="Garamond" w:hAnsi="Garamond"/>
          <w:bCs/>
          <w:sz w:val="24"/>
          <w:szCs w:val="24"/>
          <w:lang w:val="sq-AL"/>
        </w:rPr>
        <w:t>Në këtë kapitull është e përshkruar përmbajtja e vendimit.</w:t>
      </w:r>
    </w:p>
    <w:p w14:paraId="227AAD43" w14:textId="77777777" w:rsidR="00644130" w:rsidRPr="00CA7261" w:rsidRDefault="00644130" w:rsidP="00644130">
      <w:pPr>
        <w:spacing w:line="279" w:lineRule="exact"/>
        <w:rPr>
          <w:rFonts w:ascii="Garamond" w:hAnsi="Garamond"/>
          <w:sz w:val="24"/>
          <w:szCs w:val="24"/>
          <w:lang w:val="sq-AL"/>
        </w:rPr>
      </w:pPr>
    </w:p>
    <w:p w14:paraId="5755A906" w14:textId="77777777" w:rsidR="00644130" w:rsidRPr="00CA7261" w:rsidRDefault="00644130" w:rsidP="00644130">
      <w:pPr>
        <w:spacing w:line="240" w:lineRule="atLeast"/>
        <w:rPr>
          <w:rFonts w:ascii="Garamond" w:hAnsi="Garamond"/>
          <w:b/>
          <w:sz w:val="24"/>
          <w:szCs w:val="24"/>
          <w:lang w:val="sq-AL"/>
        </w:rPr>
      </w:pPr>
      <w:r w:rsidRPr="00CA7261">
        <w:rPr>
          <w:rFonts w:ascii="Garamond" w:hAnsi="Garamond"/>
          <w:b/>
          <w:sz w:val="24"/>
          <w:szCs w:val="24"/>
          <w:lang w:val="sq-AL"/>
        </w:rPr>
        <w:t>II LLOJET E OBJEKTEVE NDIHMËSE</w:t>
      </w:r>
    </w:p>
    <w:p w14:paraId="0C42222D" w14:textId="77777777" w:rsidR="00644130" w:rsidRPr="00CA7261" w:rsidRDefault="00644130" w:rsidP="00644130">
      <w:pPr>
        <w:spacing w:line="240" w:lineRule="atLeast"/>
        <w:rPr>
          <w:rFonts w:ascii="Garamond" w:hAnsi="Garamond"/>
          <w:bCs/>
          <w:sz w:val="24"/>
          <w:szCs w:val="24"/>
          <w:lang w:val="sq-AL"/>
        </w:rPr>
      </w:pPr>
      <w:r w:rsidRPr="00CA7261">
        <w:rPr>
          <w:rFonts w:ascii="Garamond" w:hAnsi="Garamond"/>
          <w:bCs/>
          <w:sz w:val="24"/>
          <w:szCs w:val="24"/>
          <w:lang w:val="sq-AL"/>
        </w:rPr>
        <w:t>Në këtë kapitull renditen llojet e pajisjeve ndihmëse në kuptimin e këtij vendimi.</w:t>
      </w:r>
    </w:p>
    <w:p w14:paraId="6025C767" w14:textId="77777777" w:rsidR="00644130" w:rsidRPr="00CA7261" w:rsidRDefault="00644130" w:rsidP="00644130">
      <w:pPr>
        <w:spacing w:line="278" w:lineRule="exact"/>
        <w:rPr>
          <w:rFonts w:ascii="Garamond" w:hAnsi="Garamond"/>
          <w:sz w:val="24"/>
          <w:szCs w:val="24"/>
          <w:lang w:val="sq-AL"/>
        </w:rPr>
      </w:pPr>
    </w:p>
    <w:p w14:paraId="245F96F5" w14:textId="77777777" w:rsidR="00644130" w:rsidRPr="00CA7261" w:rsidRDefault="00644130" w:rsidP="00644130">
      <w:pPr>
        <w:pStyle w:val="NoSpacing"/>
        <w:rPr>
          <w:rFonts w:ascii="Garamond" w:hAnsi="Garamond"/>
          <w:b/>
          <w:sz w:val="24"/>
          <w:szCs w:val="24"/>
          <w:lang w:val="sq-AL"/>
        </w:rPr>
      </w:pPr>
      <w:r w:rsidRPr="00CA7261">
        <w:rPr>
          <w:rFonts w:ascii="Garamond" w:hAnsi="Garamond"/>
          <w:b/>
          <w:sz w:val="24"/>
          <w:szCs w:val="24"/>
          <w:lang w:val="sq-AL"/>
        </w:rPr>
        <w:t>III KUSHTET PER VENDOSJEN GJEGJËSISHT NDËRTIMIN E OBJEKTEVE NDIHMËSE</w:t>
      </w:r>
    </w:p>
    <w:p w14:paraId="022EF4FF" w14:textId="77777777" w:rsidR="00644130" w:rsidRPr="00CA7261" w:rsidRDefault="00644130" w:rsidP="00644130">
      <w:pPr>
        <w:pStyle w:val="NoSpacing"/>
        <w:rPr>
          <w:rFonts w:ascii="Garamond" w:hAnsi="Garamond"/>
          <w:bCs/>
          <w:sz w:val="24"/>
          <w:szCs w:val="24"/>
          <w:lang w:val="sq-AL"/>
        </w:rPr>
      </w:pPr>
      <w:r w:rsidRPr="00CA7261">
        <w:rPr>
          <w:rFonts w:ascii="Garamond" w:hAnsi="Garamond"/>
          <w:bCs/>
          <w:sz w:val="24"/>
          <w:szCs w:val="24"/>
          <w:lang w:val="sq-AL"/>
        </w:rPr>
        <w:t>Në këtë kapitull përcaktohen kushtet e veçanta që objektet ndihmëse duhet të plotësojnë.</w:t>
      </w:r>
    </w:p>
    <w:p w14:paraId="5E7992C2" w14:textId="77777777" w:rsidR="00644130" w:rsidRPr="00CA7261" w:rsidRDefault="00644130" w:rsidP="00644130">
      <w:pPr>
        <w:pStyle w:val="NoSpacing"/>
        <w:rPr>
          <w:rFonts w:ascii="Garamond" w:hAnsi="Garamond"/>
          <w:b/>
          <w:sz w:val="24"/>
          <w:szCs w:val="24"/>
          <w:lang w:val="sq-AL"/>
        </w:rPr>
      </w:pPr>
    </w:p>
    <w:p w14:paraId="78FFF830" w14:textId="77777777" w:rsidR="00644130" w:rsidRPr="00CA7261" w:rsidRDefault="00644130" w:rsidP="00644130">
      <w:pPr>
        <w:spacing w:line="240" w:lineRule="atLeast"/>
        <w:rPr>
          <w:rFonts w:ascii="Garamond" w:hAnsi="Garamond"/>
          <w:b/>
          <w:sz w:val="24"/>
          <w:szCs w:val="24"/>
          <w:lang w:val="sq-AL"/>
        </w:rPr>
      </w:pPr>
      <w:r w:rsidRPr="00CA7261">
        <w:rPr>
          <w:rFonts w:ascii="Garamond" w:hAnsi="Garamond"/>
          <w:b/>
          <w:sz w:val="24"/>
          <w:szCs w:val="24"/>
          <w:lang w:val="sq-AL"/>
        </w:rPr>
        <w:t>IV PROCEDURA PËR VENDOSJEN GJEGJËSISHT NDËRTIMIN E OBJEKTEVE NDIHMËSE</w:t>
      </w:r>
    </w:p>
    <w:p w14:paraId="0EE146DF" w14:textId="77777777" w:rsidR="00644130" w:rsidRPr="00CA7261" w:rsidRDefault="00644130" w:rsidP="00644130">
      <w:pPr>
        <w:spacing w:line="253" w:lineRule="exact"/>
        <w:rPr>
          <w:rFonts w:ascii="Garamond" w:hAnsi="Garamond"/>
          <w:bCs/>
          <w:sz w:val="24"/>
          <w:szCs w:val="24"/>
          <w:lang w:val="sq-AL"/>
        </w:rPr>
      </w:pPr>
      <w:r w:rsidRPr="00CA7261">
        <w:rPr>
          <w:rFonts w:ascii="Garamond" w:hAnsi="Garamond"/>
          <w:bCs/>
          <w:sz w:val="24"/>
          <w:szCs w:val="24"/>
          <w:lang w:val="sq-AL"/>
        </w:rPr>
        <w:t>Në këtë kapitull është e përshkruar procedura, kushtet dhe dokumentacioni i nevojshëm për vendosjen ose ndërtimin e objekteve ndihmëse, si dhe afatin brenda të cilit duhet të fillojë vendosja ose  ndërtimi i objekteve ndihmëse.</w:t>
      </w:r>
    </w:p>
    <w:p w14:paraId="73688F2F" w14:textId="77777777" w:rsidR="00644130" w:rsidRPr="00CA7261" w:rsidRDefault="00644130" w:rsidP="00644130">
      <w:pPr>
        <w:spacing w:line="253" w:lineRule="exact"/>
        <w:rPr>
          <w:rFonts w:ascii="Garamond" w:hAnsi="Garamond"/>
          <w:bCs/>
          <w:sz w:val="24"/>
          <w:szCs w:val="24"/>
          <w:lang w:val="sq-AL"/>
        </w:rPr>
      </w:pPr>
    </w:p>
    <w:p w14:paraId="0D49E46E" w14:textId="77777777" w:rsidR="00644130" w:rsidRPr="00CA7261" w:rsidRDefault="00644130" w:rsidP="00644130">
      <w:pPr>
        <w:spacing w:line="253" w:lineRule="exact"/>
        <w:rPr>
          <w:rFonts w:ascii="Garamond" w:hAnsi="Garamond"/>
          <w:b/>
          <w:bCs/>
          <w:sz w:val="24"/>
          <w:szCs w:val="24"/>
          <w:lang w:val="sq-AL"/>
        </w:rPr>
      </w:pPr>
      <w:r w:rsidRPr="00CA7261">
        <w:rPr>
          <w:rFonts w:ascii="Garamond" w:hAnsi="Garamond"/>
          <w:b/>
          <w:bCs/>
          <w:sz w:val="24"/>
          <w:szCs w:val="24"/>
          <w:lang w:val="sq-AL"/>
        </w:rPr>
        <w:t>V MBIKËQYRJA</w:t>
      </w:r>
    </w:p>
    <w:p w14:paraId="66CD083B" w14:textId="77777777" w:rsidR="00644130" w:rsidRPr="00CA7261" w:rsidRDefault="00644130" w:rsidP="00644130">
      <w:pPr>
        <w:spacing w:line="263" w:lineRule="auto"/>
        <w:jc w:val="both"/>
        <w:rPr>
          <w:rFonts w:ascii="Garamond" w:hAnsi="Garamond"/>
          <w:bCs/>
          <w:sz w:val="24"/>
          <w:szCs w:val="24"/>
          <w:lang w:val="sq-AL"/>
        </w:rPr>
      </w:pPr>
      <w:r w:rsidRPr="00CA7261">
        <w:rPr>
          <w:rFonts w:ascii="Garamond" w:hAnsi="Garamond"/>
          <w:bCs/>
          <w:sz w:val="24"/>
          <w:szCs w:val="24"/>
          <w:lang w:val="sq-AL"/>
        </w:rPr>
        <w:t xml:space="preserve">Mbikëqyrja mbi zbatimin e këtij vendimi kryhet nga organi i administratës lokale përgjegjës për planifikimin dhe rregullimin hapësinor, ndërsa mbikëqyrja e inspektimit kryhet nga  Shërbimi i policisë komunale dhe </w:t>
      </w:r>
      <w:proofErr w:type="spellStart"/>
      <w:r w:rsidRPr="00CA7261">
        <w:rPr>
          <w:rFonts w:ascii="Garamond" w:hAnsi="Garamond"/>
          <w:bCs/>
          <w:sz w:val="24"/>
          <w:szCs w:val="24"/>
          <w:lang w:val="sq-AL"/>
        </w:rPr>
        <w:t>inspekcionit</w:t>
      </w:r>
      <w:proofErr w:type="spellEnd"/>
      <w:r w:rsidRPr="00CA7261">
        <w:rPr>
          <w:rFonts w:ascii="Garamond" w:hAnsi="Garamond"/>
          <w:bCs/>
          <w:sz w:val="24"/>
          <w:szCs w:val="24"/>
          <w:lang w:val="sq-AL"/>
        </w:rPr>
        <w:t xml:space="preserve"> komunal.</w:t>
      </w:r>
    </w:p>
    <w:p w14:paraId="62C1A915" w14:textId="77777777" w:rsidR="00644130" w:rsidRPr="00CA7261" w:rsidRDefault="00644130" w:rsidP="00644130">
      <w:pPr>
        <w:spacing w:line="257" w:lineRule="exact"/>
        <w:rPr>
          <w:rFonts w:ascii="Garamond" w:hAnsi="Garamond"/>
          <w:b/>
          <w:bCs/>
          <w:sz w:val="24"/>
          <w:szCs w:val="24"/>
          <w:lang w:val="sq-AL"/>
        </w:rPr>
      </w:pPr>
      <w:r w:rsidRPr="00CA7261">
        <w:rPr>
          <w:rFonts w:ascii="Garamond" w:hAnsi="Garamond"/>
          <w:b/>
          <w:bCs/>
          <w:sz w:val="24"/>
          <w:szCs w:val="24"/>
          <w:lang w:val="sq-AL"/>
        </w:rPr>
        <w:t>VI DISPOZITAT NDESHKUESE</w:t>
      </w:r>
    </w:p>
    <w:p w14:paraId="3A8068D0" w14:textId="77777777" w:rsidR="00644130" w:rsidRPr="00CA7261" w:rsidRDefault="00644130" w:rsidP="00644130">
      <w:pPr>
        <w:spacing w:line="240" w:lineRule="atLeast"/>
        <w:jc w:val="both"/>
        <w:rPr>
          <w:rFonts w:ascii="Garamond" w:hAnsi="Garamond"/>
          <w:bCs/>
          <w:sz w:val="24"/>
          <w:szCs w:val="24"/>
          <w:lang w:val="sq-AL"/>
        </w:rPr>
      </w:pPr>
      <w:r w:rsidRPr="00CA7261">
        <w:rPr>
          <w:rFonts w:ascii="Garamond" w:hAnsi="Garamond"/>
          <w:bCs/>
          <w:sz w:val="24"/>
          <w:szCs w:val="24"/>
          <w:lang w:val="sq-AL"/>
        </w:rPr>
        <w:t>Ky kapitull përshkruan shumën e gjobave që do të vendosen ndaj një personi juridik, një sipërmarrësi, një personi përgjegjës në personin juridik dhe një personi fizik nëse ata ndryshojnë qëllimin e objekteve ndihmëse në objekte banimi ose biznesi.</w:t>
      </w:r>
    </w:p>
    <w:p w14:paraId="6B41D9C3" w14:textId="77777777" w:rsidR="00644130" w:rsidRPr="00CA7261" w:rsidRDefault="00644130" w:rsidP="00644130">
      <w:pPr>
        <w:spacing w:line="240" w:lineRule="atLeast"/>
        <w:rPr>
          <w:rFonts w:ascii="Garamond" w:hAnsi="Garamond"/>
          <w:b/>
          <w:sz w:val="24"/>
          <w:szCs w:val="24"/>
          <w:lang w:val="sq-AL"/>
        </w:rPr>
      </w:pPr>
    </w:p>
    <w:p w14:paraId="584C04C0" w14:textId="77777777" w:rsidR="00644130" w:rsidRPr="00CA7261" w:rsidRDefault="00644130" w:rsidP="00644130">
      <w:pPr>
        <w:spacing w:line="240" w:lineRule="atLeast"/>
        <w:rPr>
          <w:rFonts w:ascii="Garamond" w:hAnsi="Garamond"/>
          <w:b/>
          <w:sz w:val="24"/>
          <w:szCs w:val="24"/>
          <w:lang w:val="sq-AL"/>
        </w:rPr>
      </w:pPr>
      <w:r w:rsidRPr="00CA7261">
        <w:rPr>
          <w:rFonts w:ascii="Garamond" w:hAnsi="Garamond"/>
          <w:b/>
          <w:sz w:val="24"/>
          <w:szCs w:val="24"/>
          <w:lang w:val="sq-AL"/>
        </w:rPr>
        <w:t>VII DISPOZITAT KALIMTARE DHE PERFUNDIMTARE</w:t>
      </w:r>
    </w:p>
    <w:p w14:paraId="775F1DC7" w14:textId="77777777" w:rsidR="00644130" w:rsidRPr="00CA7261" w:rsidRDefault="00644130" w:rsidP="00644130">
      <w:pPr>
        <w:spacing w:line="260" w:lineRule="auto"/>
        <w:ind w:right="20"/>
        <w:rPr>
          <w:rFonts w:ascii="Garamond" w:hAnsi="Garamond"/>
          <w:bCs/>
          <w:sz w:val="24"/>
          <w:szCs w:val="24"/>
          <w:lang w:val="sq-AL"/>
        </w:rPr>
      </w:pPr>
      <w:r w:rsidRPr="00CA7261">
        <w:rPr>
          <w:rFonts w:ascii="Garamond" w:hAnsi="Garamond"/>
          <w:bCs/>
          <w:sz w:val="24"/>
          <w:szCs w:val="24"/>
          <w:lang w:val="sq-AL"/>
        </w:rPr>
        <w:t>Ky kapitull përcakton që Vendimi mbi objektet ndihmëse do të hyjë në fuqi në ditën e tetë nga dita e publikimit në "Fletën zyrtare të Malit të Zi - dispozitat komunale".</w:t>
      </w:r>
    </w:p>
    <w:p w14:paraId="170647F1" w14:textId="77777777" w:rsidR="00644130" w:rsidRPr="00CA7261" w:rsidRDefault="00644130" w:rsidP="00644130">
      <w:pPr>
        <w:spacing w:line="260" w:lineRule="auto"/>
        <w:ind w:right="20"/>
        <w:rPr>
          <w:rFonts w:ascii="Garamond" w:hAnsi="Garamond"/>
          <w:bCs/>
          <w:sz w:val="24"/>
          <w:szCs w:val="24"/>
          <w:lang w:val="sq-AL"/>
        </w:rPr>
      </w:pPr>
    </w:p>
    <w:p w14:paraId="6702AAB6" w14:textId="77777777" w:rsidR="00644130" w:rsidRPr="00CA7261" w:rsidRDefault="00644130" w:rsidP="00644130">
      <w:pPr>
        <w:spacing w:line="260" w:lineRule="auto"/>
        <w:ind w:right="20"/>
        <w:rPr>
          <w:rFonts w:ascii="Garamond" w:hAnsi="Garamond"/>
          <w:bCs/>
          <w:sz w:val="24"/>
          <w:szCs w:val="24"/>
          <w:lang w:val="sq-AL"/>
        </w:rPr>
      </w:pPr>
    </w:p>
    <w:p w14:paraId="6C5BF0DD" w14:textId="77777777" w:rsidR="00644130" w:rsidRPr="00CA7261" w:rsidRDefault="00644130" w:rsidP="00644130">
      <w:pPr>
        <w:spacing w:line="220" w:lineRule="exact"/>
        <w:rPr>
          <w:rFonts w:ascii="Garamond" w:hAnsi="Garamond"/>
          <w:sz w:val="24"/>
          <w:szCs w:val="24"/>
          <w:lang w:val="sq-AL"/>
        </w:rPr>
      </w:pPr>
    </w:p>
    <w:p w14:paraId="1E344BF1" w14:textId="77777777" w:rsidR="00644130" w:rsidRPr="00CA7261" w:rsidRDefault="00644130" w:rsidP="00644130">
      <w:pPr>
        <w:spacing w:line="240" w:lineRule="atLeast"/>
        <w:jc w:val="center"/>
        <w:rPr>
          <w:rFonts w:ascii="Garamond" w:hAnsi="Garamond"/>
          <w:b/>
          <w:sz w:val="24"/>
          <w:szCs w:val="24"/>
          <w:lang w:val="sq-AL"/>
        </w:rPr>
      </w:pPr>
      <w:r w:rsidRPr="00CA7261">
        <w:rPr>
          <w:rFonts w:ascii="Garamond" w:hAnsi="Garamond"/>
          <w:b/>
          <w:sz w:val="24"/>
          <w:szCs w:val="24"/>
          <w:lang w:val="sq-AL"/>
        </w:rPr>
        <w:t xml:space="preserve">SEKRETARIATI PËR PLANIFIKIM, RREGULLIM HAPËSINOR DHE PUNË KOMUNALE </w:t>
      </w:r>
    </w:p>
    <w:p w14:paraId="5752278E" w14:textId="77777777" w:rsidR="00644130" w:rsidRPr="00CA7261" w:rsidRDefault="00644130" w:rsidP="00644130">
      <w:pPr>
        <w:pStyle w:val="T30X"/>
        <w:rPr>
          <w:rFonts w:ascii="Garamond" w:hAnsi="Garamond"/>
          <w:sz w:val="24"/>
          <w:szCs w:val="24"/>
          <w:lang w:val="sq-AL"/>
        </w:rPr>
      </w:pPr>
    </w:p>
    <w:p w14:paraId="05C4459C" w14:textId="22BBCCBC" w:rsidR="00644130" w:rsidRDefault="00644130" w:rsidP="00644130">
      <w:pPr>
        <w:pStyle w:val="T30X"/>
        <w:jc w:val="center"/>
        <w:rPr>
          <w:rFonts w:ascii="Garamond" w:hAnsi="Garamond"/>
          <w:sz w:val="24"/>
          <w:szCs w:val="24"/>
        </w:rPr>
      </w:pPr>
    </w:p>
    <w:p w14:paraId="19AA0A29" w14:textId="2B5493C6" w:rsidR="00A17DA6" w:rsidRDefault="00A17DA6" w:rsidP="00644130">
      <w:pPr>
        <w:pStyle w:val="T30X"/>
        <w:jc w:val="center"/>
        <w:rPr>
          <w:rFonts w:ascii="Garamond" w:hAnsi="Garamond"/>
          <w:sz w:val="24"/>
          <w:szCs w:val="24"/>
        </w:rPr>
      </w:pPr>
    </w:p>
    <w:p w14:paraId="66B5D457" w14:textId="689FFD65" w:rsidR="00A17DA6" w:rsidRDefault="00A17DA6" w:rsidP="00644130">
      <w:pPr>
        <w:pStyle w:val="T30X"/>
        <w:jc w:val="center"/>
        <w:rPr>
          <w:rFonts w:ascii="Garamond" w:hAnsi="Garamond"/>
          <w:sz w:val="24"/>
          <w:szCs w:val="24"/>
        </w:rPr>
      </w:pPr>
    </w:p>
    <w:p w14:paraId="746C9E62" w14:textId="55BA2446" w:rsidR="00AA6001" w:rsidRPr="00A17DA6" w:rsidRDefault="00A17DA6" w:rsidP="00A17DA6">
      <w:pPr>
        <w:pStyle w:val="T30X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E559FE2" wp14:editId="3354C29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3800" cy="10663205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138" cy="10665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6001" w:rsidRPr="00A17DA6">
      <w:headerReference w:type="even" r:id="rId6"/>
      <w:headerReference w:type="default" r:id="rId7"/>
      <w:footerReference w:type="even" r:id="rId8"/>
      <w:footerReference w:type="default" r:id="rId9"/>
      <w:pgSz w:w="11906" w:h="16838"/>
      <w:pgMar w:top="850" w:right="850" w:bottom="850" w:left="850" w:header="567" w:footer="567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17" w:type="dxa"/>
      <w:tblLayout w:type="fixed"/>
      <w:tblCellMar>
        <w:top w:w="40" w:type="dxa"/>
        <w:left w:w="0" w:type="dxa"/>
        <w:bottom w:w="40" w:type="dxa"/>
        <w:right w:w="0" w:type="dxa"/>
      </w:tblCellMar>
      <w:tblLook w:val="0000" w:firstRow="0" w:lastRow="0" w:firstColumn="0" w:lastColumn="0" w:noHBand="0" w:noVBand="0"/>
    </w:tblPr>
    <w:tblGrid>
      <w:gridCol w:w="5146"/>
      <w:gridCol w:w="5271"/>
    </w:tblGrid>
    <w:tr w:rsidR="00786764" w14:paraId="3C8E6BAD" w14:textId="77777777" w:rsidTr="00CC19D7">
      <w:trPr>
        <w:cantSplit/>
        <w:trHeight w:val="342"/>
      </w:trPr>
      <w:tc>
        <w:tcPr>
          <w:tcW w:w="5146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14:paraId="1A66729C" w14:textId="77777777" w:rsidR="00786764" w:rsidRDefault="00A17DA6">
          <w:pPr>
            <w:pStyle w:val="Fotter"/>
          </w:pPr>
        </w:p>
      </w:tc>
      <w:tc>
        <w:tcPr>
          <w:tcW w:w="5271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14:paraId="67477CDF" w14:textId="77777777" w:rsidR="00786764" w:rsidRDefault="00A17DA6">
          <w:pPr>
            <w:pStyle w:val="Fotter"/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61C48" w14:textId="77777777" w:rsidR="00786764" w:rsidRDefault="00A17DA6" w:rsidP="009E43B0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25941" w14:textId="77777777" w:rsidR="00786764" w:rsidRPr="0034288D" w:rsidRDefault="00A17DA6" w:rsidP="009E43B0">
    <w:pPr>
      <w:pStyle w:val="Header"/>
      <w:jc w:val="left"/>
      <w:rPr>
        <w:color w:val="auto"/>
        <w:lang w:val="sr-Latn-M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CA0"/>
    <w:rsid w:val="001F1B6F"/>
    <w:rsid w:val="002A681B"/>
    <w:rsid w:val="005B577A"/>
    <w:rsid w:val="00644130"/>
    <w:rsid w:val="006905F1"/>
    <w:rsid w:val="00781CA0"/>
    <w:rsid w:val="00A17DA6"/>
    <w:rsid w:val="00AA6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DE19F"/>
  <w15:chartTrackingRefBased/>
  <w15:docId w15:val="{E24374EB-CCB7-43A2-9F02-58988D216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13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44130"/>
    <w:pPr>
      <w:pBdr>
        <w:bottom w:val="dotted" w:sz="4" w:space="0" w:color="4682B4"/>
      </w:pBdr>
      <w:tabs>
        <w:tab w:val="right" w:pos="9071"/>
      </w:tabs>
      <w:jc w:val="right"/>
    </w:pPr>
    <w:rPr>
      <w:rFonts w:ascii="Verdana" w:hAnsi="Verdana" w:cs="Verdana"/>
      <w:b/>
      <w:bCs/>
      <w:color w:val="4682B4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44130"/>
    <w:rPr>
      <w:rFonts w:ascii="Verdana" w:eastAsiaTheme="minorEastAsia" w:hAnsi="Verdana" w:cs="Verdana"/>
      <w:b/>
      <w:bCs/>
      <w:color w:val="4682B4"/>
      <w:sz w:val="18"/>
      <w:szCs w:val="18"/>
      <w:lang w:val="en-US"/>
    </w:rPr>
  </w:style>
  <w:style w:type="paragraph" w:customStyle="1" w:styleId="N03Y">
    <w:name w:val="N03Y"/>
    <w:basedOn w:val="Normal"/>
    <w:uiPriority w:val="99"/>
    <w:rsid w:val="00644130"/>
    <w:pPr>
      <w:spacing w:before="200" w:after="200"/>
      <w:jc w:val="center"/>
    </w:pPr>
    <w:rPr>
      <w:b/>
      <w:bCs/>
      <w:sz w:val="28"/>
      <w:szCs w:val="28"/>
    </w:rPr>
  </w:style>
  <w:style w:type="paragraph" w:customStyle="1" w:styleId="C30X">
    <w:name w:val="C30X"/>
    <w:basedOn w:val="Normal"/>
    <w:uiPriority w:val="99"/>
    <w:rsid w:val="00644130"/>
    <w:pPr>
      <w:spacing w:before="200" w:after="60"/>
      <w:jc w:val="center"/>
    </w:pPr>
    <w:rPr>
      <w:b/>
      <w:bCs/>
      <w:sz w:val="24"/>
      <w:szCs w:val="24"/>
    </w:rPr>
  </w:style>
  <w:style w:type="paragraph" w:customStyle="1" w:styleId="Fotter">
    <w:name w:val="Fotter"/>
    <w:basedOn w:val="Normal"/>
    <w:uiPriority w:val="99"/>
    <w:rsid w:val="00644130"/>
    <w:rPr>
      <w:rFonts w:ascii="Verdana" w:hAnsi="Verdana" w:cs="Verdana"/>
      <w:b/>
      <w:bCs/>
      <w:color w:val="4682B4"/>
      <w:sz w:val="18"/>
      <w:szCs w:val="18"/>
    </w:rPr>
  </w:style>
  <w:style w:type="paragraph" w:customStyle="1" w:styleId="N02Y">
    <w:name w:val="N02Y"/>
    <w:basedOn w:val="Normal"/>
    <w:uiPriority w:val="99"/>
    <w:rsid w:val="00644130"/>
    <w:pPr>
      <w:spacing w:before="120" w:after="60"/>
      <w:ind w:firstLine="283"/>
      <w:jc w:val="both"/>
    </w:pPr>
    <w:rPr>
      <w:sz w:val="22"/>
      <w:szCs w:val="22"/>
    </w:rPr>
  </w:style>
  <w:style w:type="paragraph" w:customStyle="1" w:styleId="T30X">
    <w:name w:val="T30X"/>
    <w:basedOn w:val="Normal"/>
    <w:uiPriority w:val="99"/>
    <w:rsid w:val="00644130"/>
    <w:pPr>
      <w:spacing w:before="60" w:after="60"/>
      <w:ind w:firstLine="283"/>
      <w:jc w:val="both"/>
    </w:pPr>
    <w:rPr>
      <w:sz w:val="22"/>
      <w:szCs w:val="22"/>
    </w:rPr>
  </w:style>
  <w:style w:type="paragraph" w:styleId="NoSpacing">
    <w:name w:val="No Spacing"/>
    <w:uiPriority w:val="1"/>
    <w:qFormat/>
    <w:rsid w:val="00644130"/>
    <w:pPr>
      <w:spacing w:after="0" w:line="240" w:lineRule="auto"/>
    </w:pPr>
    <w:rPr>
      <w:rFonts w:ascii="Calibri" w:eastAsiaTheme="minorEastAsia" w:hAnsi="Calibri" w:cs="Arial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2362</Words>
  <Characters>13470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Drita Rukaj</dc:creator>
  <cp:keywords/>
  <dc:description/>
  <cp:lastModifiedBy>Drita Rukaj</cp:lastModifiedBy>
  <cp:revision>2</cp:revision>
  <dcterms:created xsi:type="dcterms:W3CDTF">2020-12-22T14:40:00Z</dcterms:created>
  <dcterms:modified xsi:type="dcterms:W3CDTF">2020-12-22T14:43:00Z</dcterms:modified>
</cp:coreProperties>
</file>