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670E" w14:textId="43C905C4" w:rsidR="00644130" w:rsidRPr="00BD3918" w:rsidRDefault="00644130" w:rsidP="00BD3918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bazë të nenit 117 paragrafit 1 dhe 2, nenit 223 paragrafit 1 të Ligjit mbi planifikimin hapësinor dhe ndërtimin e objekteve ("Fl. zyrtare e MZ", nr. 64/17, 44/18/, 63/18, 11/19 dhe 82/20) dhe nenit 53 paragrafit 1 pikës 2 të Statutit të Komunës së Tuzit ("Fleta zyrtare e Malit të Zi – dispozitat komunale" nr. 24/19), Kryetari i Komunës së Tuzit, në seancën e mbajtur me</w:t>
      </w:r>
      <w:r w:rsidR="00BD3918">
        <w:rPr>
          <w:rFonts w:ascii="Garamond" w:hAnsi="Garamond"/>
          <w:sz w:val="24"/>
          <w:szCs w:val="24"/>
          <w:lang w:val="sq-AL"/>
        </w:rPr>
        <w:t xml:space="preserve"> 29.12.2020</w:t>
      </w:r>
      <w:r w:rsidRPr="00CA7261">
        <w:rPr>
          <w:rFonts w:ascii="Garamond" w:hAnsi="Garamond"/>
          <w:sz w:val="24"/>
          <w:szCs w:val="24"/>
          <w:lang w:val="sq-AL"/>
        </w:rPr>
        <w:t xml:space="preserve"> , ka sjellë</w:t>
      </w:r>
    </w:p>
    <w:p w14:paraId="1345449A" w14:textId="77777777" w:rsidR="00644130" w:rsidRPr="00CA7261" w:rsidRDefault="00644130" w:rsidP="00644130">
      <w:pPr>
        <w:pStyle w:val="N03Y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VENDIMIN</w:t>
      </w:r>
    </w:p>
    <w:p w14:paraId="63658A7B" w14:textId="77777777" w:rsidR="00644130" w:rsidRPr="00CA7261" w:rsidRDefault="00644130" w:rsidP="00644130">
      <w:pPr>
        <w:pStyle w:val="N03Y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mbi vendosjen ose ndërtimin dhe heqjen e objekteve ndihmëse</w:t>
      </w:r>
    </w:p>
    <w:p w14:paraId="497E75E9" w14:textId="77777777" w:rsidR="00644130" w:rsidRPr="00CA7261" w:rsidRDefault="00644130" w:rsidP="00644130">
      <w:pPr>
        <w:pStyle w:val="N03Y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DHE DISPOZITA E PËRGJITHËSHME</w:t>
      </w:r>
    </w:p>
    <w:p w14:paraId="137E54B2" w14:textId="77777777" w:rsidR="00644130" w:rsidRPr="00CA7261" w:rsidRDefault="00644130" w:rsidP="00644130">
      <w:pPr>
        <w:pStyle w:val="N03Y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I DISPOZITAT E PËRGJITHËSHME</w:t>
      </w:r>
    </w:p>
    <w:p w14:paraId="7083FD77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</w:t>
      </w:r>
    </w:p>
    <w:p w14:paraId="129F9F0A" w14:textId="77777777" w:rsidR="00644130" w:rsidRPr="00CA7261" w:rsidRDefault="00644130" w:rsidP="00644130">
      <w:pPr>
        <w:pStyle w:val="T30X"/>
        <w:jc w:val="left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Ky vendim përshkruan llojet e objekteve ndihmëse, të cilat shërbejnë për përdorimin e një objekti i banimit ose tjetër, dhe janë vendosur ose ndërtuar në të njëjtën parcelë urbane ose kadastrale, si dhe kushtet dhe procedurën për vendosjen e tyre, pra ndërtimin dhe heqjen.</w:t>
      </w:r>
    </w:p>
    <w:p w14:paraId="10A51030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>II LLOJET E OBJEKTEVE NDIHMËSE</w:t>
      </w:r>
    </w:p>
    <w:p w14:paraId="276AB4D7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2</w:t>
      </w:r>
    </w:p>
    <w:p w14:paraId="43A866CF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Objektet ndihmëse në kuptim të këtij vendimi, klasifikohen në tre lloje:</w:t>
      </w:r>
    </w:p>
    <w:p w14:paraId="2E7CF0B6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   - tip 1 objektet ndihmëse që formojnë një njësi funksionale dhe ekonomike me objektin e përdorur nga struktura ndihmëse, të tilla si: garazhe nëntokësore dhe mbitokësore, qilarë, depo, kasolle druri, kuzhina verore, portierë, ambiente për punonjësit e sigurimit, lehtësirat e taksave;</w:t>
      </w:r>
    </w:p>
    <w:p w14:paraId="0A2B43F9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   - tip 2 pajisje ndihmëse të infrastrukturës si: rezervuarë septikë bio, puse, rezervuarë uji, rezervuarë, cisterna, puseta, dhoma kazani, pajisje ngrohëse dhe ftohëse, sisteme gazi dhe panele djellore për prodhimin e energjisë elektrike nga burimet e rinovueshme, 10 kW në çati objekt themelor ose tjetër ndihmës (në tekstin e  mëtejmë foto - panele tensioni);</w:t>
      </w:r>
    </w:p>
    <w:p w14:paraId="38DB505E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   - tip 3 ambiente ndihmëse për rregullimin e terrenit si: gardhe rrethuese, mure mbajtëse, pishina të jashtme, burime, tendë dhe të ngjashme.</w:t>
      </w:r>
    </w:p>
    <w:p w14:paraId="50A706BB" w14:textId="77777777" w:rsidR="00644130" w:rsidRPr="00CA7261" w:rsidRDefault="00644130" w:rsidP="00644130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32BA12F2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7758DAE" w14:textId="77777777" w:rsidR="00644130" w:rsidRPr="00CA7261" w:rsidRDefault="00644130" w:rsidP="00644130">
      <w:pPr>
        <w:pStyle w:val="T30X"/>
        <w:jc w:val="left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Përjashtimisht gardhet rrethuese dhe muret mbajtëse mund të ngrihen ose ndërtohen, edhe pse në parcelën kadastrale dhe urbane nuk është ndërtuar objekti, sipas kushteve të përcaktuara me këtë vendim.</w:t>
      </w:r>
    </w:p>
    <w:p w14:paraId="63C915CA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455CE76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>III KUSHTET PËR THEMELIMIN GJEGJËSISHT NDËRTIMIN E OBJEKTEVE NDIHMËSE</w:t>
      </w:r>
    </w:p>
    <w:p w14:paraId="5ADE43CE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3</w:t>
      </w:r>
    </w:p>
    <w:p w14:paraId="1BDC25DB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një parcelë urbanistike gjegjësisht kadastrale, lejohet ngritja gjegjësisht ndërtimi i vetëm një objekti ndihmës të tipit 1 dhe më shumë objekteve ndihmëse të tipit 2 dhe 3.</w:t>
      </w:r>
    </w:p>
    <w:p w14:paraId="67A50B3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Nuk lejohet ndryshimi i  qëllimit në një objekt ndihmës të  banimit ose objekt biznesit.</w:t>
      </w:r>
    </w:p>
    <w:p w14:paraId="41AD0458" w14:textId="77777777" w:rsidR="00644130" w:rsidRPr="00CA7261" w:rsidRDefault="00644130" w:rsidP="00644130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258C6E00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4</w:t>
      </w:r>
    </w:p>
    <w:p w14:paraId="1764BB2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Objekti ndihmës është vendosur gjegjësisht ndërtuar brenda kufijve të parcelës urbanistike në përputhje me dokumentin e planifikimit, gjegjësisht  brenda kufijve të parcelës kadastrale nëse nuk është miratuar një plan i detajuar i përpunimit.</w:t>
      </w:r>
    </w:p>
    <w:p w14:paraId="0E6CE07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Parametrat e planifikimit për sa i përket shfrytëzimit dhe ndërtimit të parcelave urbane gjegjësisht kadastrale për objektet ndihmëse të tipit 2 dhe 3 nuk zbatohen.</w:t>
      </w:r>
    </w:p>
    <w:p w14:paraId="01EC4DD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Nëse objekti ndihmës është ngritur gjegjësisht ndërtuar në një zonë për të cilën nuk është miratuar një dokument planifikimi, ose nëse dokumenti i planifikimit për të njëjtën nuk përcakton kushtet për vendosjen ose ndërtim, kushtet përcaktohen nga dispozitat e këtij vendimi.</w:t>
      </w:r>
    </w:p>
    <w:p w14:paraId="6173CAD6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lastRenderedPageBreak/>
        <w:t>Neni 5</w:t>
      </w:r>
    </w:p>
    <w:p w14:paraId="32394C63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Objekti ndihmës vendoset, gjegjësisht ndërtohet brenda kufijve të parcelës urbanistike ose kadastrale, në një distancë prej të paktën 2 metra nga kufiri i saj,</w:t>
      </w:r>
    </w:p>
    <w:p w14:paraId="5B3437DF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Objekti ndihmës nëntokësor vendoset gjegjësisht ndërtohet brenda kufijve të parcelës urbanistike ose kadastrale, në një distancë prej të paktën 2 metra nga kufiri i saj.</w:t>
      </w:r>
    </w:p>
    <w:p w14:paraId="7D5051E8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Pavarësisht nga paragrafët 1 dhe 2 të këtij neni, objekti ndihmës, përveç  gardhit rrethues dhe muri mbështetës, mund të ndërtohet përgjatë kufirit të një parcele urbane ose kadastrale, me pëlqimin e marrë më parë nga pronari i parcelës fqinje urbanistike ose kadastrale.</w:t>
      </w:r>
    </w:p>
    <w:p w14:paraId="0D6320B4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6</w:t>
      </w:r>
    </w:p>
    <w:p w14:paraId="2EEA50C4" w14:textId="77777777" w:rsidR="00644130" w:rsidRPr="00CA7261" w:rsidRDefault="00644130" w:rsidP="00644130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Objektet ndihmëse të tipit 1 mund të jenë  në lartësinë e katit maksimal P (kati përdhes), dhe nëse terreni është i pjerrët, katet S (bodrum).</w:t>
      </w:r>
    </w:p>
    <w:p w14:paraId="6E292B98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Sipërfaqja maksimale e lejuar e ndërtimit bruto (BRGP) e objektit ndihmës të përmendur në paragrafin 1 të këtij neni mund të jetë deri në 35 m2.</w:t>
      </w:r>
    </w:p>
    <w:p w14:paraId="3C7A4F7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Lartësia maksimale e qartë e dhomave në ndërtesën ndihmëse është 2.60 m.</w:t>
      </w:r>
    </w:p>
    <w:p w14:paraId="3B48768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65F900FF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7</w:t>
      </w:r>
    </w:p>
    <w:p w14:paraId="1CA8278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Bazuar në dokumentin e planifikimit, përpunime të hollësishme mund të vendosen gjegjësisht ndërtohen në kufirin e parcelës urbane plotësisht ose pjesërisht.</w:t>
      </w:r>
    </w:p>
    <w:p w14:paraId="7A024228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territorin që nuk është i mbuluar nga dokumenti i planifikimit, përpunimet e hollësishme të gardhit rrethues mund të vendosen në kufirin e parcelës kadastrale.</w:t>
      </w:r>
    </w:p>
    <w:p w14:paraId="43B0F4F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Përjashtimisht, gardhet rrethuese me tela të përkohshëm,  mund të vendosen përgjatë kufirit të parcelës kadastrale gjegjësisht urbane në fushën e dokumentit të planifikimit të përpunimit të hollësishëm, derisa trualli të sillet në qëllimin e planifikuar.</w:t>
      </w:r>
    </w:p>
    <w:p w14:paraId="76B35C82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8</w:t>
      </w:r>
    </w:p>
    <w:p w14:paraId="59F0D5D2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Lartësia maksimale e gardhit rrethues që është vendosur ose ndërtuar rreth parcelës urbanistike ose kadastrale në të cilën është planifikuar ndërtimi i një ndërtese banimi është 1.60 m, përveç nëse plani i zhvillimit të detajuar urban parashikon ndryshe.</w:t>
      </w:r>
    </w:p>
    <w:p w14:paraId="0747B707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Gardhi rrethuese mund të jetë transparent dhe i errët, dhe materializimi mund të jetë druri, guri, betoni, metali, gardhi jeshil ose një kombinim i këtyre materialeve.</w:t>
      </w:r>
    </w:p>
    <w:p w14:paraId="654543EF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Sipas hapësirave publike, gardhi rrethues duhet të jetë transparent, mbi një lartësi prej 60 cm, përveç nëse është vendosur një mbrojtje, dhe materialet duhet të jenë në përputhje me ambientin.</w:t>
      </w:r>
    </w:p>
    <w:p w14:paraId="2D4C111A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Sipas parcelave fqinje urbanistike gjegjësisht kadastrale, gardhi rrethues mund të jetë i errët, me kusht që të mos kalojë lartësinë e përmendur në paragrafin 1 të këtij neni.</w:t>
      </w:r>
    </w:p>
    <w:p w14:paraId="5A38CDCA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Përjashtimisht, lartësia e gardhit rrethues të errët mund të jetë deri në 2 m, me pëlqimin e fqinjëve, dhe me kusht që siguria e trafikut në afërsi të menjëhershme të mos rrezikohet.</w:t>
      </w:r>
    </w:p>
    <w:p w14:paraId="503B92D4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9</w:t>
      </w:r>
    </w:p>
    <w:p w14:paraId="187C9DB1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Gardhe rrethuese deri në 2.20 m të larta mund të ndërtohen në parcela urbanistike gjegjësisht në të cilat është planifikuar ndërtimi i një objekti, qëllimi i të cilave është "ndërtimi i depove, shërbimeve dhe industrisë".</w:t>
      </w:r>
    </w:p>
    <w:p w14:paraId="7FBA5E7F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parcelën urbanistike gjegjësisht kadastrale në të cilën është planifikuar ndërtimi i objekteve me qëllim të veçantë (diplomaci, siguri, mbrojtje, etj.), Gardhi rrethues është ndërtuar në përputhje me kërkesat e sigurisë së përdoruesve.</w:t>
      </w:r>
    </w:p>
    <w:p w14:paraId="2BC82E1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Për objektet e përmendura në paragrafin 2 të këtij nenit, mund të lëshohet një miratim për vendosjen e një gardhi rrethues jashtë kufijve të parcelës urbanistike, nëse marrëdhëniet juridiko-pronësore janë zgjidhur, dmth jepet pëlqimi i pronarit, në përputhje me kërkesat e sigurisë së përdoruesit.</w:t>
      </w:r>
    </w:p>
    <w:p w14:paraId="399DF1AA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10</w:t>
      </w:r>
    </w:p>
    <w:p w14:paraId="7B4CEC82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Objektet ndihmëse të tipit 1 duhet të vendosen gjegjësisht ndërtohen në mënyrë që të mos ndryshojnë rrjedhjet natyrore të ujit ose borës që bien nga çatitë në dëm të parcelave dhe pajisjeve fqinje.</w:t>
      </w:r>
    </w:p>
    <w:p w14:paraId="511A2AB1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lastRenderedPageBreak/>
        <w:t>Nuk lejohet vendosja gjegjësisht ndërtimi i objekteve ndihmëse të tipit 1 përgjatë rrugës përgjatë skajit të rrugës.</w:t>
      </w:r>
    </w:p>
    <w:p w14:paraId="73E49EB1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11</w:t>
      </w:r>
    </w:p>
    <w:p w14:paraId="24A8D6B3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territorin e Komunës së Tuzit, mbi të cilën nuk është ndërtuar infrastruktura komunale (ujësjellësi dhe kanalizimi), brenda parcelës urbanistike gjegjësisht kadastrale, mund të ndërtohen objekte ndihmëse të tipit 2.</w:t>
      </w:r>
    </w:p>
    <w:p w14:paraId="7C41682A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Objektet ndihmëse të tipit 2: pusetat, dhomat e bojlerit, pajisjet e ngrohjes dhe ftohjes, sistemet e gazit dhe panelet djellore mund të ndërtohen në të gjithë territorin e Komunës së Tuzit.</w:t>
      </w:r>
    </w:p>
    <w:p w14:paraId="74461CF9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12</w:t>
      </w:r>
    </w:p>
    <w:p w14:paraId="40D27744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Objektet ndihmëse të tipit 3 mund të vendosen gjegjësisht ndërtohen në mënyrë që të mos ndryshojnë rrjedhën natyrore të ujit në dëm të parcelave dhe pajisjeve fqinje.</w:t>
      </w:r>
    </w:p>
    <w:p w14:paraId="65363A73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Lartësia maksimale e murit mbajtës mund të jetë 2 m.</w:t>
      </w:r>
    </w:p>
    <w:p w14:paraId="6C6D4A4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Sipas zonës publike, muri mbajtës duhet të trajtohet estetikisht dhe të jetë i veshur me gur.</w:t>
      </w:r>
    </w:p>
    <w:p w14:paraId="37C88E31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2403D162" w14:textId="77777777" w:rsidR="00644130" w:rsidRPr="00CA7261" w:rsidRDefault="00644130" w:rsidP="00644130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 xml:space="preserve">IV PROCEDURA PËR VENDOSJEN GJEGJËSISHT NDËRTIMIN E OBJEKTEVE NDIHMSE  </w:t>
      </w:r>
    </w:p>
    <w:p w14:paraId="41845F70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13</w:t>
      </w:r>
    </w:p>
    <w:p w14:paraId="0E4E266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Organi i administratës lokale përgjegjës për planifikimin dhe rregullimin hapësinor lëshon kushtet për ngritjen gjegjësisht ndërtimin e një objekti ndihmës</w:t>
      </w:r>
    </w:p>
    <w:p w14:paraId="6724FC2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Kushtet për vendosjen gjegjësisht ndërtimin lëshohen brenda 15 (pesëmbëdhjetë) ditëve nga data e paraqitjes së kërkesës.</w:t>
      </w:r>
    </w:p>
    <w:p w14:paraId="10EAA590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 kërkesën e përmendur në paragrafin 1 të këtij neni, përveç të dhënave të përshkruara nga ligji që rregullon procedurën administrative, duhet të dorëzohet një listë e pasurive të paluajtshme dhe një kopje e planit kadastral.</w:t>
      </w:r>
    </w:p>
    <w:p w14:paraId="14DE31AC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Kushtet e lëshuara nga autoritetet kompetente dhe personat e tjerë juridikë sipas rregulloreve të veçanta, të cilat janë të nevojshme për përgatitjen e dokumentacionit teknik, merren sipas detyrës zyrtare nga organi i qeverisjes vendore nga autoritetet kompetente dhe personat juridikë.</w:t>
      </w:r>
    </w:p>
    <w:p w14:paraId="2B245B58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Nëse autoritetet kompetente, gjegjësisht personat juridikë nuk paraqesin kushtet e referuara në paragrafin 4 të këtij nenit brenda 10 (dhjetë) ditëve nga dita e marrjes së kërkesës për paraqitjen e tyre, do të konsiderohet se pajtohen me kushtet e përcaktuara në bazë të këtij vendimi.</w:t>
      </w:r>
    </w:p>
    <w:p w14:paraId="2CD0F9D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Kërkesa për lëshimin e kushteve dhe kushtet e lëshuara me shkrim do të publikohen në faqen e internetit të organit të qeverisjes vendore, brenda 7 (shtatë) ditëve nga dita e paraqitjes së kërkesës ose lëshimit.</w:t>
      </w:r>
    </w:p>
    <w:p w14:paraId="680E6448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14</w:t>
      </w:r>
    </w:p>
    <w:p w14:paraId="0B2A0590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Dokumentacioni teknik për vendosjen gjegjësisht ndërtimin e një objekti ndihmës përgatitet nga një kompani, person juridik ose sipërmarrës i cili plotëson kërkesat e parashikuara nga Ligji për planifikimin hapësinor dhe ndërtimin e objekteve për kryerjen e dokumentacionit teknik.</w:t>
      </w:r>
    </w:p>
    <w:p w14:paraId="66240BE6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Dokumentacioni teknik përgatitet në bazë të kushteve të lëshuara në përputhje me këtë vendim.</w:t>
      </w:r>
    </w:p>
    <w:p w14:paraId="0FE9654D" w14:textId="77777777" w:rsidR="00644130" w:rsidRPr="00CA7261" w:rsidRDefault="00644130" w:rsidP="00644130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   Dokumentacioni teknik për ndërtimin e një objekti ndihmës është përgatitur në nivelin e dizajnit konceptual, pra të projektit.</w:t>
      </w:r>
    </w:p>
    <w:p w14:paraId="07E0004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Dokumentacioni teknik për vendosjen e objektit ndihmës përbëhet nga një paraqitje grafike e vendndodhjes dhe objektit mbi bazën kadastrale të shkallës së duhur dhe dokumentacionit shoqërues të prodhuesit dhe certifikatës.</w:t>
      </w:r>
    </w:p>
    <w:p w14:paraId="3777A4AC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Pavarësisht nga dispozitat e paragrafit 1 të këtij nenit, dokumentacioni teknik për vendosjen një objekti ndihmës që është instaluar si një produkt i përfunduar, gjegjësisht i cili është i bërë në fabrikë, përbën një model standard të marrë nga prodhuesi.</w:t>
      </w:r>
    </w:p>
    <w:p w14:paraId="03F51E26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</w:p>
    <w:p w14:paraId="6D924C1A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</w:p>
    <w:p w14:paraId="207E7968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</w:p>
    <w:p w14:paraId="1CDAED1E" w14:textId="77777777" w:rsidR="00BD3918" w:rsidRDefault="00BD3918" w:rsidP="00644130">
      <w:pPr>
        <w:pStyle w:val="C30X"/>
        <w:rPr>
          <w:rFonts w:ascii="Garamond" w:hAnsi="Garamond"/>
          <w:lang w:val="sq-AL"/>
        </w:rPr>
      </w:pPr>
    </w:p>
    <w:p w14:paraId="2F045D47" w14:textId="11EF1A91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lastRenderedPageBreak/>
        <w:t>Neni 15</w:t>
      </w:r>
    </w:p>
    <w:p w14:paraId="557B461B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Objekti ndihmës ngrihet ose ndërtohet në bazë të miratimit të organit kompetent të administratës lokale për planifikimin dhe rregullimin hapësinor.</w:t>
      </w:r>
    </w:p>
    <w:p w14:paraId="753D676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Miratimi i përmendur në paragrafin 1 të këtij neni lëshohet në bazë të dokumentacionit vijues:</w:t>
      </w:r>
    </w:p>
    <w:p w14:paraId="4FB5B6D5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1) dëshmi e së drejtës së pronësisë, përkatësisht e drejta tjetër në tokën ndërtimore dhe kopjet e planit;</w:t>
      </w:r>
    </w:p>
    <w:p w14:paraId="0933FB80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2) kushteve për ngritjen ose ndërtimin e një objekti ndihmës;</w:t>
      </w:r>
    </w:p>
    <w:p w14:paraId="2A44031E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3) dokumentacioni teknik i bërë në përputhje me kushtet e bëra në katër kopje, dy prej të cilave janë në një formë dixhitale të mbrojtur;</w:t>
      </w:r>
    </w:p>
    <w:p w14:paraId="0E38506C" w14:textId="77777777" w:rsidR="00644130" w:rsidRPr="00CA7261" w:rsidRDefault="00644130" w:rsidP="00644130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4) lista e pasurive të patundshme pa pengesa dhe kufizime ose leje ndërtimi / lejes së nevojshme për objektin përdorimi i të cilit shërben nga struktura ndihmëse, përveç gardheve dhe mureve mbajtëse.</w:t>
      </w:r>
    </w:p>
    <w:p w14:paraId="2171ED64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5) pëlqimet, mendimet dhe provat e tjera të përcaktuara me rregullore të veçanta.</w:t>
      </w:r>
    </w:p>
    <w:p w14:paraId="2AACEAF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Provat e përmendura në paragrafin 2, pikat 2 dhe 5 të këtij neni merren nga organi kompetent për lëshimin e miratimeve për instalimin ose ndërtimin e një objekti ndihmës sipas detyrës zyrtare.</w:t>
      </w:r>
    </w:p>
    <w:p w14:paraId="46BF1D8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Nëse organi kompetent ose institucionet kompetente nuk paraqesin provat e përmendura në paragrafin 2, pika 3 të këtij neni brenda 10 (dhjetë) ditëve nga dita e marrjes së kërkesës për paraqitjen e tyre, ata do të konsiderohet se pajtohen me dokumentacionin teknik të paraqitur.</w:t>
      </w:r>
    </w:p>
    <w:p w14:paraId="2CDCEAC3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Miratimi nga paragrafi 1 i këtij neni lëshohet me vendim brenda 15 (pesëmbëdhjetë) ditëve nga dita e paraqitjes së kërkesës nëse plotësohen të gjitha kushtet e përcaktuara në paragrafin 2 të këtij neni.</w:t>
      </w:r>
    </w:p>
    <w:p w14:paraId="3226F416" w14:textId="77777777" w:rsidR="00644130" w:rsidRPr="00CA7261" w:rsidRDefault="00644130" w:rsidP="00644130">
      <w:pPr>
        <w:pStyle w:val="C30X"/>
        <w:jc w:val="left"/>
        <w:rPr>
          <w:rFonts w:ascii="Garamond" w:hAnsi="Garamond"/>
          <w:b w:val="0"/>
          <w:lang w:val="sq-AL"/>
        </w:rPr>
      </w:pPr>
      <w:r w:rsidRPr="00CA7261">
        <w:rPr>
          <w:rFonts w:ascii="Garamond" w:hAnsi="Garamond"/>
          <w:b w:val="0"/>
          <w:lang w:val="sq-AL"/>
        </w:rPr>
        <w:t>Kërkesa për lëshimin e miratimit dhe miratimi publikohet në faqen e internetit të organit të administratës loakle, brenda shtatë ditëve nga dita e paraqitjes së aplikimit ose lëshimit.</w:t>
      </w:r>
    </w:p>
    <w:p w14:paraId="1B6EC124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16</w:t>
      </w:r>
    </w:p>
    <w:p w14:paraId="02F4510E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Investitori është i detyruar të fillojë instalimin ose ndërtimin e objektit ndihmës brenda gjashtë muajve nga data e lëshimit të lejes.</w:t>
      </w:r>
    </w:p>
    <w:p w14:paraId="71D64ACB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Nëse investitori nuk fillon ndërtimin ose ngritjen e objektit ndihmës brenda periudhës së përmendur në paragrafin 1 të këtij neni, e drejta e tij për të ngritur ose ndërtuar objektin pas miratimit të lëshuar do të pushojë.</w:t>
      </w:r>
    </w:p>
    <w:p w14:paraId="45003D3E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>V MBIKËQYRJA</w:t>
      </w:r>
    </w:p>
    <w:p w14:paraId="353A48DE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17</w:t>
      </w:r>
    </w:p>
    <w:p w14:paraId="180A4238" w14:textId="77777777" w:rsidR="00644130" w:rsidRPr="00CA7261" w:rsidRDefault="00644130" w:rsidP="00644130">
      <w:pPr>
        <w:pStyle w:val="C30X"/>
        <w:jc w:val="both"/>
        <w:rPr>
          <w:rFonts w:ascii="Garamond" w:hAnsi="Garamond"/>
          <w:b w:val="0"/>
          <w:lang w:val="sq-AL"/>
        </w:rPr>
      </w:pPr>
      <w:r w:rsidRPr="00CA7261">
        <w:rPr>
          <w:rFonts w:ascii="Garamond" w:hAnsi="Garamond"/>
          <w:b w:val="0"/>
          <w:lang w:val="sq-AL"/>
        </w:rPr>
        <w:t>Mbikëqyrja mbi zbatimin e këtij vendimi kryhet nga organi i administratës lokale përgjegjës për planifikimin dhe rregullimin hapësinor.</w:t>
      </w:r>
    </w:p>
    <w:p w14:paraId="5C9B2274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18</w:t>
      </w:r>
    </w:p>
    <w:p w14:paraId="46859A40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Mbikëqyrja inspektuese mbi zbatimin e këtij vendimi kryhet nga Shërbimi i policisë komunale dhe shërbimi i inspektimit komunal.</w:t>
      </w:r>
    </w:p>
    <w:p w14:paraId="0E7B687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Kur përcakton që një objekt ndihmës po ngrihet ose ndërtohet pa leje ose se po ngrihet ose ndërtohet në kundërshtim me miratimin e lëshuar, Inspektori Komunal ka detyrimin dhe autoritetin të urdhërojë prishjen e objektit ndihmës.</w:t>
      </w:r>
    </w:p>
    <w:p w14:paraId="2F6431B8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Shpenzimet e rrënimit të përmendura në paragrafin 2 të këtij neni do të barten nga pronari ose përdoruesi i objektit ndihmës.</w:t>
      </w:r>
    </w:p>
    <w:p w14:paraId="31D41D10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316BB1A6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>VI DISPOZITAT NDËSHKUESE</w:t>
      </w:r>
    </w:p>
    <w:p w14:paraId="0B8B080C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19</w:t>
      </w:r>
    </w:p>
    <w:p w14:paraId="6FC0668F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432B709D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Gjoba në shumë prej 500,00 € deri 10,000 € do t'i shqiptohet personit juridik për kundërvajtje nëse: ndryshon qëllimin e objekteve ndihmëse, në objekte banimi ose afarizmi (neni 3, paragrafi 2).Një gjobë në shumë prej 300,00 € deri në 3,000,00 € do t'i shqiptohet sipërmarrësit për kundërvajtjen e përmendur në paragrafin 1 të këtij neni.</w:t>
      </w:r>
    </w:p>
    <w:p w14:paraId="748C09D4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lastRenderedPageBreak/>
        <w:t>Do të dënohet me gjobë në shumë prej 100,00 € deri 1000,00 € personi përgjegjës në personin juridik dhe personi fizik për kundërvajtjen e përmendur në paragrafin 1 të këtij neni.</w:t>
      </w:r>
    </w:p>
    <w:p w14:paraId="3B61FF34" w14:textId="77777777" w:rsidR="00644130" w:rsidRPr="00CA7261" w:rsidRDefault="00644130" w:rsidP="00644130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A7261">
        <w:rPr>
          <w:rFonts w:ascii="Garamond" w:hAnsi="Garamond"/>
          <w:b/>
          <w:bCs/>
          <w:sz w:val="24"/>
          <w:szCs w:val="24"/>
          <w:lang w:val="sq-AL"/>
        </w:rPr>
        <w:t xml:space="preserve">VII DISPOZITAT PËRFUNDIMTARE </w:t>
      </w:r>
    </w:p>
    <w:p w14:paraId="39884B07" w14:textId="77777777" w:rsidR="00644130" w:rsidRPr="00CA7261" w:rsidRDefault="00644130" w:rsidP="00644130">
      <w:pPr>
        <w:pStyle w:val="C30X"/>
        <w:rPr>
          <w:rFonts w:ascii="Garamond" w:hAnsi="Garamond"/>
          <w:lang w:val="sq-AL"/>
        </w:rPr>
      </w:pPr>
      <w:r w:rsidRPr="00CA7261">
        <w:rPr>
          <w:rFonts w:ascii="Garamond" w:hAnsi="Garamond"/>
          <w:lang w:val="sq-AL"/>
        </w:rPr>
        <w:t>Neni 20</w:t>
      </w:r>
    </w:p>
    <w:p w14:paraId="3CB31CEA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Ky vendim hyn në fuqi ditën e tetë prej ditës së publikimit në “Fletën Zyrtare të MZ – dispozitat komunale”. </w:t>
      </w:r>
    </w:p>
    <w:p w14:paraId="3E6920E3" w14:textId="7D1E67B3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Numër:</w:t>
      </w:r>
      <w:r w:rsidR="00BD3918" w:rsidRPr="00BD3918">
        <w:rPr>
          <w:rFonts w:ascii="Garamond" w:hAnsi="Garamond"/>
          <w:sz w:val="24"/>
          <w:szCs w:val="24"/>
          <w:lang w:val="sq-AL"/>
        </w:rPr>
        <w:t xml:space="preserve"> </w:t>
      </w:r>
      <w:r w:rsidR="00BD3918">
        <w:rPr>
          <w:rFonts w:ascii="Garamond" w:hAnsi="Garamond"/>
          <w:sz w:val="24"/>
          <w:szCs w:val="24"/>
          <w:lang w:val="sq-AL"/>
        </w:rPr>
        <w:t>02-030/20-129</w:t>
      </w:r>
      <w:r w:rsidR="00BD3918">
        <w:rPr>
          <w:rFonts w:ascii="Garamond" w:hAnsi="Garamond"/>
          <w:sz w:val="24"/>
          <w:szCs w:val="24"/>
          <w:lang w:val="sq-AL"/>
        </w:rPr>
        <w:t>40</w:t>
      </w:r>
    </w:p>
    <w:p w14:paraId="621F832C" w14:textId="6FB86594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Tuz,</w:t>
      </w:r>
      <w:r w:rsidR="00BD3918">
        <w:rPr>
          <w:rFonts w:ascii="Garamond" w:hAnsi="Garamond"/>
          <w:sz w:val="24"/>
          <w:szCs w:val="24"/>
          <w:lang w:val="sq-AL"/>
        </w:rPr>
        <w:t xml:space="preserve"> 29.12.2020</w:t>
      </w:r>
    </w:p>
    <w:p w14:paraId="6DF81F99" w14:textId="77777777" w:rsidR="00644130" w:rsidRPr="00CA7261" w:rsidRDefault="00644130" w:rsidP="00644130">
      <w:pPr>
        <w:pStyle w:val="T30X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 </w:t>
      </w:r>
    </w:p>
    <w:p w14:paraId="62E13102" w14:textId="77777777" w:rsidR="00644130" w:rsidRPr="00CA7261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 xml:space="preserve">Kuvendi i Komunës së Tuzit </w:t>
      </w:r>
    </w:p>
    <w:p w14:paraId="74220073" w14:textId="77777777" w:rsidR="00644130" w:rsidRPr="00CA7261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Kryetari</w:t>
      </w:r>
    </w:p>
    <w:p w14:paraId="57783D1A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  <w:r w:rsidRPr="00CA7261">
        <w:rPr>
          <w:rFonts w:ascii="Garamond" w:hAnsi="Garamond"/>
          <w:sz w:val="24"/>
          <w:szCs w:val="24"/>
          <w:lang w:val="sq-AL"/>
        </w:rPr>
        <w:t>Fadil Kajoshaj</w:t>
      </w:r>
    </w:p>
    <w:p w14:paraId="3ACCFC11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4EEE80C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3C490653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5884828E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E916AB5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5BB79BE3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2DE4304D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261DD5D6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1A140BE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023D963D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0FB95424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53DDA27A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78AEF20A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A887406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0FD7F6E7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B27C4E5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FB9823F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3AC68ADF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6DCA5AB6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0706DFD2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2DC53DC0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02DECD04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386BB2E6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16BAEDFD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1C48B185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2BCEEE0B" w14:textId="77777777" w:rsidR="00644130" w:rsidRDefault="00644130" w:rsidP="00644130">
      <w:pPr>
        <w:pStyle w:val="T30X"/>
        <w:jc w:val="center"/>
        <w:rPr>
          <w:rFonts w:ascii="Garamond" w:hAnsi="Garamond"/>
          <w:sz w:val="24"/>
          <w:szCs w:val="24"/>
          <w:lang w:val="sq-AL"/>
        </w:rPr>
      </w:pPr>
    </w:p>
    <w:p w14:paraId="746C9E62" w14:textId="15C75378" w:rsidR="00AA6001" w:rsidRPr="00A17DA6" w:rsidRDefault="00AA6001" w:rsidP="00BD3918">
      <w:pPr>
        <w:pStyle w:val="T30X"/>
        <w:ind w:firstLine="0"/>
        <w:rPr>
          <w:rFonts w:ascii="Garamond" w:hAnsi="Garamond"/>
          <w:sz w:val="24"/>
          <w:szCs w:val="24"/>
        </w:rPr>
      </w:pPr>
    </w:p>
    <w:sectPr w:rsidR="00AA6001" w:rsidRPr="00A17DA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EBA6" w14:textId="77777777" w:rsidR="00903A3A" w:rsidRDefault="00903A3A">
      <w:r>
        <w:separator/>
      </w:r>
    </w:p>
  </w:endnote>
  <w:endnote w:type="continuationSeparator" w:id="0">
    <w:p w14:paraId="0CAB085C" w14:textId="77777777" w:rsidR="00903A3A" w:rsidRDefault="0090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7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46"/>
      <w:gridCol w:w="5271"/>
    </w:tblGrid>
    <w:tr w:rsidR="00786764" w14:paraId="3C8E6BAD" w14:textId="77777777" w:rsidTr="00CC19D7">
      <w:trPr>
        <w:cantSplit/>
        <w:trHeight w:val="342"/>
      </w:trPr>
      <w:tc>
        <w:tcPr>
          <w:tcW w:w="5146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A66729C" w14:textId="77777777" w:rsidR="00786764" w:rsidRDefault="00903A3A">
          <w:pPr>
            <w:pStyle w:val="Fotter"/>
          </w:pPr>
        </w:p>
      </w:tc>
      <w:tc>
        <w:tcPr>
          <w:tcW w:w="5271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7477CDF" w14:textId="77777777" w:rsidR="00786764" w:rsidRDefault="00903A3A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630A" w14:textId="77777777" w:rsidR="00000000" w:rsidRDefault="00903A3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04AC" w14:textId="77777777" w:rsidR="00903A3A" w:rsidRDefault="00903A3A">
      <w:r>
        <w:separator/>
      </w:r>
    </w:p>
  </w:footnote>
  <w:footnote w:type="continuationSeparator" w:id="0">
    <w:p w14:paraId="4AA5EEBC" w14:textId="77777777" w:rsidR="00903A3A" w:rsidRDefault="0090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1C48" w14:textId="77777777" w:rsidR="00786764" w:rsidRDefault="00903A3A" w:rsidP="009E43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5941" w14:textId="77777777" w:rsidR="00786764" w:rsidRPr="0034288D" w:rsidRDefault="00903A3A" w:rsidP="009E43B0">
    <w:pPr>
      <w:pStyle w:val="Header"/>
      <w:jc w:val="left"/>
      <w:rPr>
        <w:color w:val="auto"/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0"/>
    <w:rsid w:val="001F1B6F"/>
    <w:rsid w:val="002A681B"/>
    <w:rsid w:val="005B577A"/>
    <w:rsid w:val="00644130"/>
    <w:rsid w:val="006905F1"/>
    <w:rsid w:val="00781CA0"/>
    <w:rsid w:val="00903A3A"/>
    <w:rsid w:val="00A17DA6"/>
    <w:rsid w:val="00AA6001"/>
    <w:rsid w:val="00B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E19F"/>
  <w15:chartTrackingRefBased/>
  <w15:docId w15:val="{E24374EB-CCB7-43A2-9F02-58988D2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130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4130"/>
    <w:rPr>
      <w:rFonts w:ascii="Verdana" w:eastAsiaTheme="minorEastAsia" w:hAnsi="Verdana" w:cs="Verdana"/>
      <w:b/>
      <w:bCs/>
      <w:color w:val="4682B4"/>
      <w:sz w:val="18"/>
      <w:szCs w:val="18"/>
      <w:lang w:val="en-US"/>
    </w:rPr>
  </w:style>
  <w:style w:type="paragraph" w:customStyle="1" w:styleId="N03Y">
    <w:name w:val="N03Y"/>
    <w:basedOn w:val="Normal"/>
    <w:uiPriority w:val="99"/>
    <w:rsid w:val="0064413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64413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64413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2Y">
    <w:name w:val="N02Y"/>
    <w:basedOn w:val="Normal"/>
    <w:uiPriority w:val="99"/>
    <w:rsid w:val="0064413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644130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644130"/>
    <w:pPr>
      <w:spacing w:after="0" w:line="240" w:lineRule="auto"/>
    </w:pPr>
    <w:rPr>
      <w:rFonts w:ascii="Calibri" w:eastAsiaTheme="minorEastAsia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4</cp:revision>
  <dcterms:created xsi:type="dcterms:W3CDTF">2020-12-22T14:40:00Z</dcterms:created>
  <dcterms:modified xsi:type="dcterms:W3CDTF">2020-12-30T11:18:00Z</dcterms:modified>
</cp:coreProperties>
</file>