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>nabavka</w:t>
      </w:r>
      <w:proofErr w:type="spellEnd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>poljoprivredne</w:t>
      </w:r>
      <w:proofErr w:type="spellEnd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>mehanizacije</w:t>
      </w:r>
      <w:proofErr w:type="spellEnd"/>
      <w:r w:rsidR="0020183D" w:rsidRPr="0020183D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73CD6" w:rsidRP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traktora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priključak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rezidbu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, atomizer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kao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malčer</w:t>
      </w:r>
      <w:proofErr w:type="spellEnd"/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>potrebe</w:t>
      </w:r>
      <w:proofErr w:type="spellEnd"/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 w:rsidRPr="00264EC6">
        <w:rPr>
          <w:rFonts w:ascii="Times New Roman" w:hAnsi="Times New Roman" w:cs="Times New Roman"/>
          <w:b/>
          <w:sz w:val="24"/>
          <w:szCs w:val="24"/>
          <w:u w:val="single"/>
        </w:rPr>
        <w:t>vinograda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BA49BC">
        <w:rPr>
          <w:rFonts w:ascii="Times New Roman" w:hAnsi="Times New Roman" w:cs="Times New Roman"/>
          <w:sz w:val="24"/>
          <w:szCs w:val="24"/>
          <w:lang w:val="pt-BR"/>
        </w:rPr>
        <w:t>DOO “FISHTA- EXPORT IMPORT” za proizvodnju, promet i usluge TUZI, Ljekaj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bb iz Tuzi PIB 502179914 čiji je Izvršni direktor Nua ivezaj, iz Ljekaja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sredinu broj 1</w:t>
      </w:r>
      <w:r w:rsidR="00D73CD6">
        <w:rPr>
          <w:rFonts w:ascii="Times New Roman" w:hAnsi="Times New Roman" w:cs="Times New Roman"/>
          <w:sz w:val="28"/>
          <w:szCs w:val="28"/>
          <w:lang w:val="sr-Latn-RS"/>
        </w:rPr>
        <w:t>5358 od 16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svakog radnog dana počevši od 17.12.2021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21.12.2021.godine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37" w:rsidRDefault="00F36737" w:rsidP="00B22B5D">
      <w:pPr>
        <w:spacing w:after="0" w:line="240" w:lineRule="auto"/>
      </w:pPr>
      <w:r>
        <w:separator/>
      </w:r>
    </w:p>
  </w:endnote>
  <w:endnote w:type="continuationSeparator" w:id="0">
    <w:p w:rsidR="00F36737" w:rsidRDefault="00F36737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37" w:rsidRDefault="00F36737" w:rsidP="00B22B5D">
      <w:pPr>
        <w:spacing w:after="0" w:line="240" w:lineRule="auto"/>
      </w:pPr>
      <w:r>
        <w:separator/>
      </w:r>
    </w:p>
  </w:footnote>
  <w:footnote w:type="continuationSeparator" w:id="0">
    <w:p w:rsidR="00F36737" w:rsidRDefault="00F36737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F36737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8048A"/>
    <w:rsid w:val="00CB139B"/>
    <w:rsid w:val="00CC3BC5"/>
    <w:rsid w:val="00CD023E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B1443"/>
    <w:rsid w:val="00EB182C"/>
    <w:rsid w:val="00EB60B3"/>
    <w:rsid w:val="00EE223A"/>
    <w:rsid w:val="00EF60DF"/>
    <w:rsid w:val="00F3124E"/>
    <w:rsid w:val="00F36737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76B9A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20D6-DBEA-4E5A-8840-3CA199E6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9</cp:revision>
  <cp:lastPrinted>2021-12-17T08:16:00Z</cp:lastPrinted>
  <dcterms:created xsi:type="dcterms:W3CDTF">2020-12-03T07:18:00Z</dcterms:created>
  <dcterms:modified xsi:type="dcterms:W3CDTF">2021-12-17T08:18:00Z</dcterms:modified>
</cp:coreProperties>
</file>