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A341D0" w:rsidRDefault="00A341D0" w:rsidP="00A34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A341D0" w:rsidRPr="0020183D" w:rsidRDefault="00A341D0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324D23" w:rsidP="00965344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r w:rsidR="00CD56D9" w:rsidRPr="00206DB4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CD56D9" w:rsidRPr="00206DB4">
        <w:rPr>
          <w:rFonts w:ascii="Times New Roman" w:hAnsi="Times New Roman" w:cs="Times New Roman"/>
          <w:b/>
          <w:sz w:val="28"/>
          <w:szCs w:val="28"/>
          <w:u w:val="single"/>
        </w:rPr>
        <w:t xml:space="preserve">IZGRADNJA </w:t>
      </w:r>
      <w:r w:rsidR="00CD56D9" w:rsidRPr="00206DB4">
        <w:rPr>
          <w:rFonts w:ascii="Times New Roman" w:hAnsi="Times New Roman" w:cs="Times New Roman"/>
          <w:sz w:val="28"/>
          <w:szCs w:val="28"/>
        </w:rPr>
        <w:t>TRAFOSTANICA TS 10/0,4 kV, 1x630 kVA SA UKLAPANJEM U 10kV MREŽU</w:t>
      </w:r>
      <w:r w:rsidR="00CD56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6D9" w:rsidRPr="00206DB4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CD56D9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Zahtjevu „URBI PRO“ DOO iz Podgorice na </w:t>
      </w:r>
      <w:r w:rsidR="00CD56D9" w:rsidRPr="00206DB4">
        <w:rPr>
          <w:rFonts w:ascii="Times New Roman" w:hAnsi="Times New Roman" w:cs="Times New Roman"/>
          <w:sz w:val="28"/>
          <w:szCs w:val="28"/>
        </w:rPr>
        <w:t>KAT.PAR.BR. 2997/158, KO TUZI, OPŠTINA TUZI U ZAHVATU PUP-a PODGORICA</w:t>
      </w:r>
      <w:r w:rsidR="00CD56D9" w:rsidRPr="00206DB4">
        <w:rPr>
          <w:rFonts w:ascii="Times New Roman" w:hAnsi="Times New Roman" w:cs="Times New Roman"/>
          <w:sz w:val="28"/>
          <w:szCs w:val="28"/>
          <w:lang w:val="sr-Latn-RS"/>
        </w:rPr>
        <w:t>, o odlučivanju o potrebi procjene uticaja na životnu sredinu broj 225 od 13.</w:t>
      </w:r>
      <w:proofErr w:type="gramStart"/>
      <w:r w:rsidR="00CD56D9" w:rsidRPr="00206DB4">
        <w:rPr>
          <w:rFonts w:ascii="Times New Roman" w:hAnsi="Times New Roman" w:cs="Times New Roman"/>
          <w:sz w:val="28"/>
          <w:szCs w:val="28"/>
          <w:lang w:val="sr-Latn-RS"/>
        </w:rPr>
        <w:t>01.2022.godine</w:t>
      </w:r>
      <w:proofErr w:type="gramEnd"/>
      <w:r>
        <w:rPr>
          <w:rFonts w:ascii="Times New Roman" w:hAnsi="Times New Roman" w:cs="Times New Roman"/>
          <w:sz w:val="28"/>
          <w:szCs w:val="28"/>
          <w:lang w:val="sr-Latn-RS"/>
        </w:rPr>
        <w:t xml:space="preserve">, ovaj Sekretarijat donio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CD56D9">
        <w:rPr>
          <w:rFonts w:ascii="Times New Roman" w:hAnsi="Times New Roman" w:cs="Times New Roman"/>
          <w:sz w:val="28"/>
          <w:szCs w:val="28"/>
          <w:lang w:val="sr-Latn-RS"/>
        </w:rPr>
        <w:t>546 od 20.01.2022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.godine kojim se ukazuje da za izgradnju tog objekta nije potrebna </w:t>
      </w:r>
      <w:r w:rsidR="00CD56D9">
        <w:rPr>
          <w:rFonts w:ascii="Times New Roman" w:hAnsi="Times New Roman" w:cs="Times New Roman"/>
          <w:sz w:val="28"/>
          <w:szCs w:val="28"/>
          <w:lang w:val="sr-Latn-RS"/>
        </w:rPr>
        <w:t xml:space="preserve">izrada elaborata </w:t>
      </w:r>
      <w:r w:rsidR="00860BC4">
        <w:rPr>
          <w:rFonts w:ascii="Times New Roman" w:hAnsi="Times New Roman" w:cs="Times New Roman"/>
          <w:sz w:val="28"/>
          <w:szCs w:val="28"/>
          <w:lang w:val="sr-Latn-RS"/>
        </w:rPr>
        <w:t>radi procjene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uticaja na životnu sredinu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D6" w:rsidRDefault="00CB78D6" w:rsidP="00B22B5D">
      <w:pPr>
        <w:spacing w:after="0" w:line="240" w:lineRule="auto"/>
      </w:pPr>
      <w:r>
        <w:separator/>
      </w:r>
    </w:p>
  </w:endnote>
  <w:endnote w:type="continuationSeparator" w:id="0">
    <w:p w:rsidR="00CB78D6" w:rsidRDefault="00CB78D6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D6" w:rsidRDefault="00CB78D6" w:rsidP="00B22B5D">
      <w:pPr>
        <w:spacing w:after="0" w:line="240" w:lineRule="auto"/>
      </w:pPr>
      <w:r>
        <w:separator/>
      </w:r>
    </w:p>
  </w:footnote>
  <w:footnote w:type="continuationSeparator" w:id="0">
    <w:p w:rsidR="00CB78D6" w:rsidRDefault="00CB78D6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CB78D6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01B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70F28"/>
    <w:rsid w:val="002747D3"/>
    <w:rsid w:val="00277080"/>
    <w:rsid w:val="002805A6"/>
    <w:rsid w:val="0028504D"/>
    <w:rsid w:val="00293F42"/>
    <w:rsid w:val="0029794A"/>
    <w:rsid w:val="002E2781"/>
    <w:rsid w:val="002E3C4A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463CB"/>
    <w:rsid w:val="00756710"/>
    <w:rsid w:val="00784523"/>
    <w:rsid w:val="00791F83"/>
    <w:rsid w:val="00793841"/>
    <w:rsid w:val="007E0A5D"/>
    <w:rsid w:val="007E361E"/>
    <w:rsid w:val="00811EE4"/>
    <w:rsid w:val="00836C04"/>
    <w:rsid w:val="00860BC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65344"/>
    <w:rsid w:val="0096790B"/>
    <w:rsid w:val="00970B39"/>
    <w:rsid w:val="00982AE6"/>
    <w:rsid w:val="00991E0C"/>
    <w:rsid w:val="009945B2"/>
    <w:rsid w:val="009B79E3"/>
    <w:rsid w:val="009D6FAF"/>
    <w:rsid w:val="00A31B8D"/>
    <w:rsid w:val="00A341D0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466B4"/>
    <w:rsid w:val="00C8048A"/>
    <w:rsid w:val="00CB139B"/>
    <w:rsid w:val="00CB59D0"/>
    <w:rsid w:val="00CB78D6"/>
    <w:rsid w:val="00CC3BC5"/>
    <w:rsid w:val="00CD023E"/>
    <w:rsid w:val="00CD56D9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08CE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F063-DD87-42F6-A396-A4E584CF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17</cp:revision>
  <cp:lastPrinted>2021-06-16T10:44:00Z</cp:lastPrinted>
  <dcterms:created xsi:type="dcterms:W3CDTF">2020-12-03T07:18:00Z</dcterms:created>
  <dcterms:modified xsi:type="dcterms:W3CDTF">2022-01-20T11:47:00Z</dcterms:modified>
</cp:coreProperties>
</file>