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03B2" w14:textId="39D96793" w:rsidR="00DA43D0" w:rsidRDefault="00DA43D0">
      <w:pPr>
        <w:autoSpaceDE/>
        <w:autoSpaceDN/>
        <w:adjustRightInd/>
        <w:spacing w:after="160" w:line="259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b/>
          <w:bCs/>
          <w:noProof/>
          <w:lang w:val="sq-AL"/>
        </w:rPr>
        <w:drawing>
          <wp:anchor distT="0" distB="0" distL="114300" distR="114300" simplePos="0" relativeHeight="251658240" behindDoc="0" locked="0" layoutInCell="1" allowOverlap="1" wp14:anchorId="6467445F" wp14:editId="0BF9637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87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bCs/>
          <w:lang w:val="sq-AL"/>
        </w:rPr>
        <w:br w:type="page"/>
      </w:r>
    </w:p>
    <w:p w14:paraId="49EF8E8C" w14:textId="1CF783CD" w:rsidR="008C3D5D" w:rsidRPr="009C2492" w:rsidRDefault="008C3D5D" w:rsidP="009C2492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9C2492">
        <w:rPr>
          <w:rFonts w:ascii="Garamond" w:hAnsi="Garamond"/>
          <w:b w:val="0"/>
          <w:bCs w:val="0"/>
          <w:lang w:val="sq-AL"/>
        </w:rPr>
        <w:lastRenderedPageBreak/>
        <w:t xml:space="preserve">Në bazë të nenit 14 të Statutit të Komunës së Tuzit (“Fleta Zyrtare e Malit të Zi – Dispozitat komunale” 24/19, 20/05) si dhe nenit 9 dhe 10 të Vendimit </w:t>
      </w:r>
      <w:r w:rsidR="00B23DA3" w:rsidRPr="009C2492">
        <w:rPr>
          <w:rFonts w:ascii="Garamond" w:hAnsi="Garamond"/>
          <w:b w:val="0"/>
          <w:bCs w:val="0"/>
          <w:lang w:val="sq-AL"/>
        </w:rPr>
        <w:t>mbi</w:t>
      </w:r>
      <w:r w:rsidRPr="009C2492">
        <w:rPr>
          <w:rFonts w:ascii="Garamond" w:hAnsi="Garamond"/>
          <w:b w:val="0"/>
          <w:bCs w:val="0"/>
          <w:lang w:val="sq-AL"/>
        </w:rPr>
        <w:t xml:space="preserve"> </w:t>
      </w:r>
      <w:r w:rsidR="00B23DA3" w:rsidRPr="009C2492">
        <w:rPr>
          <w:rFonts w:ascii="Garamond" w:hAnsi="Garamond"/>
          <w:b w:val="0"/>
          <w:bCs w:val="0"/>
          <w:lang w:val="sq-AL"/>
        </w:rPr>
        <w:t>përcaktimin dhe ndarjen e mirënjohjeve publike</w:t>
      </w:r>
      <w:r w:rsidRPr="009C2492">
        <w:rPr>
          <w:rFonts w:ascii="Garamond" w:hAnsi="Garamond"/>
          <w:b w:val="0"/>
          <w:bCs w:val="0"/>
          <w:lang w:val="sq-AL"/>
        </w:rPr>
        <w:t xml:space="preserve"> dhe titulli</w:t>
      </w:r>
      <w:r w:rsidR="00B23DA3" w:rsidRPr="009C2492">
        <w:rPr>
          <w:rFonts w:ascii="Garamond" w:hAnsi="Garamond"/>
          <w:b w:val="0"/>
          <w:bCs w:val="0"/>
          <w:lang w:val="sq-AL"/>
        </w:rPr>
        <w:t>t</w:t>
      </w:r>
      <w:r w:rsidRPr="009C2492">
        <w:rPr>
          <w:rFonts w:ascii="Garamond" w:hAnsi="Garamond"/>
          <w:b w:val="0"/>
          <w:bCs w:val="0"/>
          <w:lang w:val="sq-AL"/>
        </w:rPr>
        <w:t xml:space="preserve"> qytetar nderi (“Fleta Zyrtare e Malit të Zi – Dispozitat komunale”, nr. 32/19), Kuvendi i Komunës së Tuzit në seancën e mbajtur më________, sjell</w:t>
      </w:r>
    </w:p>
    <w:p w14:paraId="063C7F4F" w14:textId="7757A27C" w:rsidR="008C3D5D" w:rsidRPr="009C2492" w:rsidRDefault="005162E8" w:rsidP="008C3D5D">
      <w:pPr>
        <w:pStyle w:val="N05Y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AKT</w:t>
      </w:r>
      <w:r w:rsidR="008C3D5D" w:rsidRPr="009C2492">
        <w:rPr>
          <w:rFonts w:ascii="Garamond" w:hAnsi="Garamond"/>
          <w:sz w:val="28"/>
          <w:szCs w:val="28"/>
          <w:lang w:val="sq-AL"/>
        </w:rPr>
        <w:t>VENDIM</w:t>
      </w:r>
    </w:p>
    <w:p w14:paraId="59ECA322" w14:textId="473B863E" w:rsidR="00720263" w:rsidRDefault="008C3D5D" w:rsidP="008C3D5D">
      <w:pPr>
        <w:pStyle w:val="N05Y"/>
        <w:rPr>
          <w:rFonts w:ascii="Garamond" w:hAnsi="Garamond"/>
          <w:sz w:val="28"/>
          <w:szCs w:val="28"/>
          <w:lang w:val="sq-AL"/>
        </w:rPr>
      </w:pPr>
      <w:bookmarkStart w:id="0" w:name="_Hlk114141539"/>
      <w:r w:rsidRPr="009C2492">
        <w:rPr>
          <w:rFonts w:ascii="Garamond" w:hAnsi="Garamond"/>
          <w:sz w:val="28"/>
          <w:szCs w:val="28"/>
          <w:lang w:val="sq-AL"/>
        </w:rPr>
        <w:t xml:space="preserve">mbi emërimin e </w:t>
      </w:r>
      <w:r w:rsidR="00F96429">
        <w:rPr>
          <w:rFonts w:ascii="Garamond" w:hAnsi="Garamond"/>
          <w:sz w:val="28"/>
          <w:szCs w:val="28"/>
          <w:lang w:val="sq-AL"/>
        </w:rPr>
        <w:t>J</w:t>
      </w:r>
      <w:r w:rsidRPr="009C2492">
        <w:rPr>
          <w:rFonts w:ascii="Garamond" w:hAnsi="Garamond"/>
          <w:sz w:val="28"/>
          <w:szCs w:val="28"/>
          <w:lang w:val="sq-AL"/>
        </w:rPr>
        <w:t xml:space="preserve">urisë për ndarjen e </w:t>
      </w:r>
      <w:r w:rsidR="0087046A" w:rsidRPr="009C2492">
        <w:rPr>
          <w:rFonts w:ascii="Garamond" w:hAnsi="Garamond"/>
          <w:sz w:val="28"/>
          <w:szCs w:val="28"/>
          <w:lang w:val="sq-AL"/>
        </w:rPr>
        <w:t>Ç</w:t>
      </w:r>
      <w:r w:rsidRPr="009C2492">
        <w:rPr>
          <w:rFonts w:ascii="Garamond" w:hAnsi="Garamond"/>
          <w:sz w:val="28"/>
          <w:szCs w:val="28"/>
          <w:lang w:val="sq-AL"/>
        </w:rPr>
        <w:t xml:space="preserve">mimit </w:t>
      </w:r>
      <w:r w:rsidR="004547A3">
        <w:rPr>
          <w:rFonts w:ascii="Garamond" w:hAnsi="Garamond"/>
          <w:sz w:val="28"/>
          <w:szCs w:val="28"/>
          <w:lang w:val="sq-AL"/>
        </w:rPr>
        <w:t>„</w:t>
      </w:r>
      <w:r w:rsidRPr="009C2492">
        <w:rPr>
          <w:rFonts w:ascii="Garamond" w:hAnsi="Garamond"/>
          <w:sz w:val="28"/>
          <w:szCs w:val="28"/>
          <w:lang w:val="sq-AL"/>
        </w:rPr>
        <w:t>15 Dhjetori” të Komunës së Tuzit për vitin 2022</w:t>
      </w:r>
    </w:p>
    <w:bookmarkEnd w:id="0"/>
    <w:p w14:paraId="22C12398" w14:textId="77777777" w:rsidR="004547A3" w:rsidRPr="009C2492" w:rsidRDefault="004547A3" w:rsidP="008C3D5D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663B3A59" w14:textId="77777777" w:rsidR="00720263" w:rsidRPr="009C2492" w:rsidRDefault="008C3D5D" w:rsidP="009C2492">
      <w:pPr>
        <w:pStyle w:val="C30X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Neni</w:t>
      </w:r>
      <w:r w:rsidR="00720263" w:rsidRPr="009C2492">
        <w:rPr>
          <w:rFonts w:ascii="Garamond" w:hAnsi="Garamond"/>
          <w:sz w:val="28"/>
          <w:szCs w:val="28"/>
          <w:lang w:val="sq-AL"/>
        </w:rPr>
        <w:t xml:space="preserve"> 1</w:t>
      </w:r>
    </w:p>
    <w:p w14:paraId="093A50DC" w14:textId="77777777" w:rsidR="008C3D5D" w:rsidRPr="009C2492" w:rsidRDefault="008C3D5D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Në Jurinë për ndarjen e Çmimit të Komunës së Tuzit për vitin 2022 janë caktuar:</w:t>
      </w:r>
    </w:p>
    <w:p w14:paraId="24AD2628" w14:textId="77777777" w:rsidR="009C2492" w:rsidRDefault="009C2492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</w:p>
    <w:p w14:paraId="1D3CCA50" w14:textId="56D0CC81" w:rsidR="008C3D5D" w:rsidRDefault="008C3D5D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Kryetar emërohet:</w:t>
      </w:r>
      <w:r w:rsidR="009C2492">
        <w:rPr>
          <w:rFonts w:ascii="Garamond" w:hAnsi="Garamond"/>
          <w:sz w:val="28"/>
          <w:szCs w:val="28"/>
          <w:lang w:val="sq-AL"/>
        </w:rPr>
        <w:t>_________</w:t>
      </w:r>
    </w:p>
    <w:p w14:paraId="234263E1" w14:textId="77777777" w:rsidR="009C2492" w:rsidRPr="009C2492" w:rsidRDefault="009C2492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</w:p>
    <w:p w14:paraId="402A0FFE" w14:textId="77777777" w:rsidR="008C3D5D" w:rsidRPr="009C2492" w:rsidRDefault="005C43B0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Anëtarët</w:t>
      </w:r>
      <w:r w:rsidR="008C3D5D" w:rsidRPr="009C2492">
        <w:rPr>
          <w:rFonts w:ascii="Garamond" w:hAnsi="Garamond"/>
          <w:sz w:val="28"/>
          <w:szCs w:val="28"/>
          <w:lang w:val="sq-AL"/>
        </w:rPr>
        <w:t>:</w:t>
      </w:r>
    </w:p>
    <w:p w14:paraId="28B44E34" w14:textId="77777777" w:rsidR="00720263" w:rsidRPr="009C2492" w:rsidRDefault="00720263" w:rsidP="008C3D5D">
      <w:pPr>
        <w:pStyle w:val="T30X"/>
        <w:ind w:left="567" w:hanging="283"/>
        <w:rPr>
          <w:rFonts w:ascii="Garamond" w:hAnsi="Garamond"/>
          <w:sz w:val="28"/>
          <w:szCs w:val="28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1</w:t>
      </w:r>
      <w:r w:rsidR="00DB7937" w:rsidRPr="009C2492">
        <w:rPr>
          <w:rFonts w:ascii="Garamond" w:hAnsi="Garamond"/>
          <w:sz w:val="28"/>
          <w:szCs w:val="28"/>
          <w:lang w:val="sq-AL"/>
        </w:rPr>
        <w:t>.</w:t>
      </w:r>
    </w:p>
    <w:p w14:paraId="2828ECF2" w14:textId="77777777" w:rsidR="00DB7937" w:rsidRPr="009C2492" w:rsidRDefault="00DB7937" w:rsidP="00DB7937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2.</w:t>
      </w:r>
    </w:p>
    <w:p w14:paraId="4516C167" w14:textId="77777777" w:rsidR="00DB7937" w:rsidRPr="009C2492" w:rsidRDefault="00DB7937" w:rsidP="00DB7937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3.</w:t>
      </w:r>
    </w:p>
    <w:p w14:paraId="15065CD2" w14:textId="77777777" w:rsidR="00DB7937" w:rsidRPr="009C2492" w:rsidRDefault="00DB7937" w:rsidP="00DB7937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4.</w:t>
      </w:r>
    </w:p>
    <w:p w14:paraId="302393F2" w14:textId="77777777" w:rsidR="00720263" w:rsidRPr="009C2492" w:rsidRDefault="008C3D5D">
      <w:pPr>
        <w:pStyle w:val="C30X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Neni</w:t>
      </w:r>
      <w:r w:rsidR="00720263" w:rsidRPr="009C24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5FEF7278" w14:textId="77777777" w:rsidR="008C3D5D" w:rsidRPr="009C2492" w:rsidRDefault="008C3D5D" w:rsidP="008C3D5D">
      <w:pPr>
        <w:pStyle w:val="C30X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>Kryetari dhe anëtarët kanë të drejtë në kompensim për pjesëmarrjen në punën e seancës së jurisë.</w:t>
      </w:r>
    </w:p>
    <w:p w14:paraId="00075158" w14:textId="77777777" w:rsidR="008C3D5D" w:rsidRPr="009C2492" w:rsidRDefault="008C3D5D" w:rsidP="008C3D5D">
      <w:pPr>
        <w:pStyle w:val="C30X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Kompensimi për çdo ditë pjesëmarrje në punën e seancës për anëtarët e jurisë caktohet në 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vlerën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e një dit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e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për udhëtime zyrtare në vend, kurse për kryetarin në 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vlerën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një dit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e 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>e gjysmë për udhëtim zyrtar në vend.</w:t>
      </w:r>
    </w:p>
    <w:p w14:paraId="33C85817" w14:textId="77777777" w:rsidR="008C3D5D" w:rsidRPr="009C2492" w:rsidRDefault="008C3D5D" w:rsidP="008C3D5D">
      <w:pPr>
        <w:pStyle w:val="C30X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Pagesa e kompensimit bëhet nga organi i </w:t>
      </w:r>
      <w:r w:rsidR="000E118B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administratës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lokal përgjegjës për çështjet financiare, në bazë të urdhrit të sekretarit të Kuvendit të Komunës së Tuzit.</w:t>
      </w:r>
    </w:p>
    <w:p w14:paraId="27E829E6" w14:textId="77777777" w:rsidR="00720263" w:rsidRPr="009C2492" w:rsidRDefault="008C3D5D" w:rsidP="008C3D5D">
      <w:pPr>
        <w:pStyle w:val="C30X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Neni</w:t>
      </w:r>
      <w:r w:rsidR="00720263" w:rsidRPr="009C2492">
        <w:rPr>
          <w:rFonts w:ascii="Garamond" w:hAnsi="Garamond"/>
          <w:sz w:val="28"/>
          <w:szCs w:val="28"/>
          <w:lang w:val="sq-AL"/>
        </w:rPr>
        <w:t xml:space="preserve"> 3</w:t>
      </w:r>
    </w:p>
    <w:p w14:paraId="109C1EDF" w14:textId="57B59EC8" w:rsidR="0002704E" w:rsidRPr="009C2492" w:rsidRDefault="008C3D5D" w:rsidP="005579F9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Ky Vendim hyn në fuqi ditën e publikimit në </w:t>
      </w:r>
      <w:r w:rsidR="005579F9">
        <w:rPr>
          <w:rFonts w:ascii="Garamond" w:hAnsi="Garamond"/>
          <w:sz w:val="28"/>
          <w:szCs w:val="28"/>
          <w:lang w:val="sq-AL"/>
        </w:rPr>
        <w:t>„</w:t>
      </w:r>
      <w:r w:rsidRPr="009C2492"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5058FAF9" w14:textId="6D9938B8" w:rsidR="008C3D5D" w:rsidRDefault="008C3D5D">
      <w:pPr>
        <w:pStyle w:val="T30X"/>
        <w:rPr>
          <w:rFonts w:ascii="Garamond" w:hAnsi="Garamond"/>
          <w:sz w:val="28"/>
          <w:szCs w:val="28"/>
          <w:lang w:val="sq-AL"/>
        </w:rPr>
      </w:pPr>
    </w:p>
    <w:p w14:paraId="2A21D16C" w14:textId="6E6BE955" w:rsidR="005579F9" w:rsidRDefault="005579F9">
      <w:pPr>
        <w:pStyle w:val="T30X"/>
        <w:rPr>
          <w:rFonts w:ascii="Garamond" w:hAnsi="Garamond"/>
          <w:sz w:val="28"/>
          <w:szCs w:val="28"/>
          <w:lang w:val="sq-AL"/>
        </w:rPr>
      </w:pPr>
    </w:p>
    <w:p w14:paraId="3CE35E8F" w14:textId="77777777" w:rsidR="005579F9" w:rsidRPr="009C2492" w:rsidRDefault="005579F9">
      <w:pPr>
        <w:pStyle w:val="T30X"/>
        <w:rPr>
          <w:rFonts w:ascii="Garamond" w:hAnsi="Garamond"/>
          <w:sz w:val="28"/>
          <w:szCs w:val="28"/>
          <w:lang w:val="sq-AL"/>
        </w:rPr>
      </w:pPr>
    </w:p>
    <w:p w14:paraId="2C3525CB" w14:textId="77777777" w:rsidR="005579F9" w:rsidRPr="001B40AC" w:rsidRDefault="005579F9" w:rsidP="005579F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>Numër: 02-030/22-</w:t>
      </w:r>
    </w:p>
    <w:p w14:paraId="0DF7ACB3" w14:textId="77777777" w:rsidR="005579F9" w:rsidRPr="001B40AC" w:rsidRDefault="005579F9" w:rsidP="005579F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>Tuz, ___.08.2022</w:t>
      </w:r>
    </w:p>
    <w:p w14:paraId="7F48F00E" w14:textId="77777777" w:rsidR="005579F9" w:rsidRPr="001B40AC" w:rsidRDefault="005579F9" w:rsidP="005579F9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C2E428C" w14:textId="77777777" w:rsidR="005579F9" w:rsidRPr="001B40AC" w:rsidRDefault="005579F9" w:rsidP="005579F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5BBB946" w14:textId="77777777" w:rsidR="005579F9" w:rsidRPr="001B40AC" w:rsidRDefault="005579F9" w:rsidP="005579F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DBF5FB1" w14:textId="77777777" w:rsidR="005579F9" w:rsidRPr="001B40AC" w:rsidRDefault="005579F9" w:rsidP="005579F9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8F54473" w14:textId="72C7BD6B" w:rsidR="008C3D5D" w:rsidRDefault="008C3D5D" w:rsidP="005579F9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5579F9"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  <w:t>Arsyetim</w:t>
      </w:r>
    </w:p>
    <w:p w14:paraId="73BAB4B1" w14:textId="77777777" w:rsidR="005579F9" w:rsidRPr="009C2492" w:rsidRDefault="005579F9" w:rsidP="005579F9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244FD3FF" w14:textId="79AF7760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Baza ligjore për miratimin e Vendimit mbi emërimin e Jurisë për dhënien e çmimit “15 Dhjetori” të Komunës së Tuzit për vitin 2022 gjendet në nenin 14 14 të Statutit të Komunës së Tuzit ku përcaktohej se çmimi "15 dhjetori" ndahet në shënimin e 15 dhjetorit - Ditës së Çlirimit të Tuzit, për meritat më të larta dhe rezultatet e arritura në punën teorike dhe praktike. dhe veprim në të gjitha fushat e krijimtarisë njerëzore.</w:t>
      </w:r>
    </w:p>
    <w:p w14:paraId="2584A220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Për ndarjen e Çmimit “15 Dhjetori” vendos juria e caktuar nga Kuvendi i komunës së Tuzit.</w:t>
      </w:r>
    </w:p>
    <w:p w14:paraId="6C4C59D9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Ndërsa neni 9 i Vendimit mbi </w:t>
      </w:r>
      <w:r w:rsidR="00B23DA3" w:rsidRPr="009C2492">
        <w:rPr>
          <w:rFonts w:ascii="Garamond" w:hAnsi="Garamond"/>
          <w:sz w:val="28"/>
          <w:szCs w:val="28"/>
          <w:lang w:val="sq-AL"/>
        </w:rPr>
        <w:t xml:space="preserve">përcaktimin dhe ndarjen e mirënjohjeve publike dhe titullit qytetar 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nderi (“Fleta Zyrtare e Malit të Zi – Dispozitat komunale”, nr. 32/19) përcakton se Vendimi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mbi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dhënien e Çmimit merret nga juria e caktuar nga Kuvendi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i komunës së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Tuzit.</w:t>
      </w:r>
    </w:p>
    <w:p w14:paraId="481FCAD3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Vendimi merret me shumicën e votave të numrit të përgjithshëm të anëtarëve të jurisë.</w:t>
      </w:r>
    </w:p>
    <w:p w14:paraId="06B4D733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Vendimi për dhënien e Çmimit duhet të shpjegohet.</w:t>
      </w:r>
    </w:p>
    <w:p w14:paraId="62B06B22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Çmimi nuk do të ndahet nëse juria konstaton se kandidatët e propozuar nuk i kanë plotësuar kushtet për dhënien e tij, ndërsa neni 10 parashikon që juria përbëhet nga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kryetari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dhe katër anëtarë të emëruar nga punonjës të shquar shkencorë, ekonomikë, kulturorë dhe publikë. Juria caktohet për vitin në të cilin jepet Çmimi.</w:t>
      </w:r>
    </w:p>
    <w:p w14:paraId="250AEC9E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Askush nuk mund të zgjidhet anëtar i Jurisë dy herë radhazi.</w:t>
      </w:r>
    </w:p>
    <w:p w14:paraId="2F242724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Anëtari i jurisë që propozohet për dhënien e çmimit nuk merr pjesë në punën e jurisë.</w:t>
      </w:r>
    </w:p>
    <w:p w14:paraId="18FE5D55" w14:textId="77777777" w:rsidR="00F25947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Juria miraton rregulloren e punës së saj, e cila rregullon mënyrën e punës dhe çështje të tjera të rëndësishme.</w:t>
      </w:r>
    </w:p>
    <w:p w14:paraId="714F43C4" w14:textId="77777777" w:rsidR="00F25947" w:rsidRPr="009C2492" w:rsidRDefault="00F25947" w:rsidP="005579F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8E7B7C2" w14:textId="77777777" w:rsidR="00F25947" w:rsidRPr="009C2492" w:rsidRDefault="008305BC" w:rsidP="005579F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9C2492"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q-AL"/>
        </w:rPr>
        <w:t>Arsyet për sjelljen e vendimit</w:t>
      </w:r>
      <w:r w:rsidR="00F25947" w:rsidRPr="009C2492"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q-AL"/>
        </w:rPr>
        <w:t>:</w:t>
      </w:r>
    </w:p>
    <w:p w14:paraId="3C814333" w14:textId="77777777" w:rsidR="00810181" w:rsidRPr="009C2492" w:rsidRDefault="00810181" w:rsidP="005579F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5FBDE6F" w14:textId="77777777" w:rsidR="00810181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Neni 10 i Vendimit </w:t>
      </w:r>
      <w:r w:rsidR="00B23DA3"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mbi </w:t>
      </w:r>
      <w:r w:rsidR="00B23DA3" w:rsidRPr="009C2492">
        <w:rPr>
          <w:rFonts w:ascii="Garamond" w:hAnsi="Garamond"/>
          <w:sz w:val="28"/>
          <w:szCs w:val="28"/>
          <w:lang w:val="sq-AL"/>
        </w:rPr>
        <w:t xml:space="preserve">përcaktimin dhe ndarjen e mirënjohjeve publike dhe titullit qytetar </w:t>
      </w:r>
      <w:r w:rsidR="00B23DA3"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nderi 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(“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Fleta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Zyrtare e Malit të Zi –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Dispozitat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komunale”, nr. 32/19, përcakton se juria caktohet për vitin në të cilin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ndahet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çmimi, dhe si ndahet çmimi për vitin 2022, është e nevojshme të caktohen anëtarë të rinj të jurisë, dhe gjithashtu në Vendim parashikohet që askush nuk mund të zgjidhet dy herë radhazi.</w:t>
      </w:r>
    </w:p>
    <w:p w14:paraId="6A91192B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5B7F8673" w14:textId="77777777" w:rsidR="00810181" w:rsidRPr="009C2492" w:rsidRDefault="008305BC" w:rsidP="005579F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  <w:t>Përmbajtja e vendimit</w:t>
      </w:r>
      <w:r w:rsidR="00810181" w:rsidRPr="009C2492"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  <w:t>:</w:t>
      </w:r>
    </w:p>
    <w:p w14:paraId="4655BEF9" w14:textId="77777777" w:rsidR="00810181" w:rsidRPr="009C2492" w:rsidRDefault="00810181" w:rsidP="005579F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28C1E16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Neni 1 i Vendimit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mbi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emërimin e Jurisë për dhënien e Çmimit "15 Dhjetor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i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" të Komunës së Tuzit për vitin 2022 parasheh se në Jurinë për dhënien e Çmimit të Komunës së Tuzit për vitin 2022, </w:t>
      </w:r>
      <w:r w:rsidR="0015375B"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emërohet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kryetar/e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_____, dhe anëtarët ____.</w:t>
      </w:r>
    </w:p>
    <w:p w14:paraId="346B24B5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Neni 2 i Vendimit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mbi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emërimin e jurisë për dhënien e çmimit “15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D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hjetori” të Komunës së Tuzit për vitin 2022, përcakton se Kryetari dhe anëtarët kanë të drejtë në kompensim për pjesëmarrjen në punën e seancës së jurisë.</w:t>
      </w:r>
    </w:p>
    <w:p w14:paraId="0D6C111E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Kompensimi për çdo ditë pjesëmarrje në punën e seancës për anëtarët e jurisë caktohet në </w:t>
      </w:r>
      <w:r w:rsidR="00A13469" w:rsidRPr="009C2492">
        <w:rPr>
          <w:rStyle w:val="DefaultParagraphFont0"/>
          <w:rFonts w:ascii="Garamond" w:hAnsi="Garamond"/>
          <w:sz w:val="28"/>
          <w:szCs w:val="28"/>
          <w:lang w:val="sq-AL"/>
        </w:rPr>
        <w:t>vlerën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e një dit</w:t>
      </w:r>
      <w:r w:rsidR="00A13469" w:rsidRPr="009C2492">
        <w:rPr>
          <w:rStyle w:val="DefaultParagraphFont0"/>
          <w:rFonts w:ascii="Garamond" w:hAnsi="Garamond"/>
          <w:sz w:val="28"/>
          <w:szCs w:val="28"/>
          <w:lang w:val="sq-AL"/>
        </w:rPr>
        <w:t>e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për udhëtime zyrtare në vend, kurse për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kryetarin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në </w:t>
      </w:r>
      <w:r w:rsidR="00A13469" w:rsidRPr="009C2492">
        <w:rPr>
          <w:rStyle w:val="DefaultParagraphFont0"/>
          <w:rFonts w:ascii="Garamond" w:hAnsi="Garamond"/>
          <w:sz w:val="28"/>
          <w:szCs w:val="28"/>
          <w:lang w:val="sq-AL"/>
        </w:rPr>
        <w:t>vlerën e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një dit</w:t>
      </w:r>
      <w:r w:rsidR="00A13469" w:rsidRPr="009C2492">
        <w:rPr>
          <w:rStyle w:val="DefaultParagraphFont0"/>
          <w:rFonts w:ascii="Garamond" w:hAnsi="Garamond"/>
          <w:sz w:val="28"/>
          <w:szCs w:val="28"/>
          <w:lang w:val="sq-AL"/>
        </w:rPr>
        <w:t>e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e gjysmë për udhëtim zyrtar në vend.</w:t>
      </w:r>
    </w:p>
    <w:p w14:paraId="05D96BD1" w14:textId="77777777" w:rsidR="008C3D5D" w:rsidRPr="009C2492" w:rsidRDefault="008C3D5D" w:rsidP="005579F9">
      <w:pPr>
        <w:widowControl w:val="0"/>
        <w:jc w:val="both"/>
        <w:rPr>
          <w:rStyle w:val="DefaultParagraphFont0"/>
          <w:rFonts w:ascii="Garamond" w:hAnsi="Garamond"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Pagesa e kompensimit bëhet nga organi i </w:t>
      </w:r>
      <w:r w:rsidR="000E118B" w:rsidRPr="009C2492">
        <w:rPr>
          <w:rStyle w:val="DefaultParagraphFont0"/>
          <w:rFonts w:ascii="Garamond" w:hAnsi="Garamond"/>
          <w:sz w:val="28"/>
          <w:szCs w:val="28"/>
          <w:lang w:val="sq-AL"/>
        </w:rPr>
        <w:t>administratës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lokal</w:t>
      </w:r>
      <w:r w:rsidR="000E118B" w:rsidRPr="009C2492">
        <w:rPr>
          <w:rStyle w:val="DefaultParagraphFont0"/>
          <w:rFonts w:ascii="Garamond" w:hAnsi="Garamond"/>
          <w:sz w:val="28"/>
          <w:szCs w:val="28"/>
          <w:lang w:val="sq-AL"/>
        </w:rPr>
        <w:t>e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përgjegjës për çështjet financiare, në bazë të urdhrit të sekretarit të Kuvendit të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k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omunës së Tuzit.</w:t>
      </w:r>
    </w:p>
    <w:p w14:paraId="0E3BA56D" w14:textId="1140135F" w:rsidR="0002704E" w:rsidRPr="009C2492" w:rsidRDefault="008C3D5D" w:rsidP="004547A3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Neni 3 i Vendimit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mbi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emërimin e jurisë për dhënien e çmimit "15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D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>hjetori" të Komunës së Tuzit për vitin 2022, përcakton se ky vendim hyn në fuqi ditën e publikimit në "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Fletën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Zyrtare të Mali i Zi - </w:t>
      </w:r>
      <w:r w:rsidR="008305BC" w:rsidRPr="009C2492">
        <w:rPr>
          <w:rStyle w:val="DefaultParagraphFont0"/>
          <w:rFonts w:ascii="Garamond" w:hAnsi="Garamond"/>
          <w:sz w:val="28"/>
          <w:szCs w:val="28"/>
          <w:lang w:val="sq-AL"/>
        </w:rPr>
        <w:t>Dispozitat</w:t>
      </w:r>
      <w:r w:rsidRPr="009C2492">
        <w:rPr>
          <w:rStyle w:val="DefaultParagraphFont0"/>
          <w:rFonts w:ascii="Garamond" w:hAnsi="Garamond"/>
          <w:sz w:val="28"/>
          <w:szCs w:val="28"/>
          <w:lang w:val="sq-AL"/>
        </w:rPr>
        <w:t xml:space="preserve"> komunale</w:t>
      </w:r>
      <w:r w:rsidR="004547A3" w:rsidRPr="009C2492">
        <w:rPr>
          <w:rStyle w:val="DefaultParagraphFont0"/>
          <w:rFonts w:ascii="Garamond" w:hAnsi="Garamond"/>
          <w:sz w:val="28"/>
          <w:szCs w:val="28"/>
          <w:lang w:val="sq-AL"/>
        </w:rPr>
        <w:t>"</w:t>
      </w:r>
      <w:r w:rsidR="004547A3">
        <w:rPr>
          <w:rStyle w:val="DefaultParagraphFont0"/>
          <w:rFonts w:ascii="Garamond" w:hAnsi="Garamond"/>
          <w:sz w:val="28"/>
          <w:szCs w:val="28"/>
          <w:lang w:val="sq-AL"/>
        </w:rPr>
        <w:t>.</w:t>
      </w:r>
    </w:p>
    <w:sectPr w:rsidR="0002704E" w:rsidRPr="009C2492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BFF1" w14:textId="77777777" w:rsidR="006C6522" w:rsidRDefault="006C6522">
      <w:r>
        <w:separator/>
      </w:r>
    </w:p>
  </w:endnote>
  <w:endnote w:type="continuationSeparator" w:id="0">
    <w:p w14:paraId="7DC8F324" w14:textId="77777777" w:rsidR="006C6522" w:rsidRDefault="006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DB7937" w14:paraId="793FCE4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BF3F662" w14:textId="77777777" w:rsidR="00DB7937" w:rsidRDefault="00DB7937">
          <w:pPr>
            <w:pStyle w:val="Fot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20263" w14:paraId="3BB0E0C0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CC3B67B" w14:textId="77777777" w:rsidR="00720263" w:rsidRDefault="0072026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B3C846B" w14:textId="77777777" w:rsidR="00720263" w:rsidRDefault="00720263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8553" w14:textId="77777777" w:rsidR="006C6522" w:rsidRDefault="006C6522">
      <w:r>
        <w:separator/>
      </w:r>
    </w:p>
  </w:footnote>
  <w:footnote w:type="continuationSeparator" w:id="0">
    <w:p w14:paraId="35C59CE3" w14:textId="77777777" w:rsidR="006C6522" w:rsidRDefault="006C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7"/>
    <w:rsid w:val="0002704E"/>
    <w:rsid w:val="000E118B"/>
    <w:rsid w:val="0015375B"/>
    <w:rsid w:val="00213FF9"/>
    <w:rsid w:val="00286622"/>
    <w:rsid w:val="0032269A"/>
    <w:rsid w:val="003E44DF"/>
    <w:rsid w:val="00441D48"/>
    <w:rsid w:val="004547A3"/>
    <w:rsid w:val="005162E8"/>
    <w:rsid w:val="005579F9"/>
    <w:rsid w:val="005C43B0"/>
    <w:rsid w:val="006C6522"/>
    <w:rsid w:val="00720263"/>
    <w:rsid w:val="007220F4"/>
    <w:rsid w:val="007E0346"/>
    <w:rsid w:val="00810181"/>
    <w:rsid w:val="008305BC"/>
    <w:rsid w:val="0087046A"/>
    <w:rsid w:val="008C3D5D"/>
    <w:rsid w:val="009C2492"/>
    <w:rsid w:val="009E7A81"/>
    <w:rsid w:val="00A13469"/>
    <w:rsid w:val="00A41437"/>
    <w:rsid w:val="00B23DA3"/>
    <w:rsid w:val="00B2541A"/>
    <w:rsid w:val="00B54690"/>
    <w:rsid w:val="00BB74BF"/>
    <w:rsid w:val="00D32976"/>
    <w:rsid w:val="00DA43D0"/>
    <w:rsid w:val="00DB7937"/>
    <w:rsid w:val="00F25947"/>
    <w:rsid w:val="00F32F8C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78EBB"/>
  <w14:defaultImageDpi w14:val="0"/>
  <w15:docId w15:val="{380D8F70-CFF4-41A6-8A79-EF9531D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5579F9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2</cp:revision>
  <cp:lastPrinted>2022-09-15T11:42:00Z</cp:lastPrinted>
  <dcterms:created xsi:type="dcterms:W3CDTF">2022-09-16T10:40:00Z</dcterms:created>
  <dcterms:modified xsi:type="dcterms:W3CDTF">2022-09-16T10:40:00Z</dcterms:modified>
</cp:coreProperties>
</file>