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6DB4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6DB4">
        <w:rPr>
          <w:sz w:val="28"/>
          <w:szCs w:val="28"/>
          <w:lang w:val="sr-Latn-RS"/>
        </w:rPr>
        <w:t xml:space="preserve">Na </w:t>
      </w:r>
      <w:r w:rsidRPr="00206DB4">
        <w:rPr>
          <w:sz w:val="28"/>
          <w:szCs w:val="28"/>
        </w:rPr>
        <w:t>osnovu člana</w:t>
      </w:r>
      <w:r w:rsidRPr="00206DB4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206DB4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 w:rsidRPr="00206DB4">
        <w:rPr>
          <w:rFonts w:ascii="Times New Roman" w:hAnsi="Times New Roman" w:cs="Times New Roman"/>
          <w:sz w:val="28"/>
          <w:szCs w:val="28"/>
          <w:lang w:val="sr-Latn-RS"/>
        </w:rPr>
        <w:t>za projekat „</w:t>
      </w:r>
      <w:r w:rsidR="00C3132B">
        <w:rPr>
          <w:rFonts w:ascii="Times New Roman" w:hAnsi="Times New Roman" w:cs="Times New Roman"/>
          <w:sz w:val="28"/>
          <w:szCs w:val="28"/>
        </w:rPr>
        <w:t>POGON ZA PROIZVODNJU CHIPSA</w:t>
      </w:r>
      <w:r w:rsidR="00B25C65">
        <w:rPr>
          <w:rFonts w:ascii="Times New Roman" w:hAnsi="Times New Roman" w:cs="Times New Roman"/>
          <w:sz w:val="28"/>
          <w:szCs w:val="28"/>
        </w:rPr>
        <w:t>”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B4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C3132B">
        <w:rPr>
          <w:rFonts w:ascii="Times New Roman" w:hAnsi="Times New Roman" w:cs="Times New Roman"/>
          <w:sz w:val="28"/>
          <w:szCs w:val="28"/>
          <w:lang w:val="sr-Latn-RS"/>
        </w:rPr>
        <w:t>Montenegro CHIPS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F850D3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DOO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Tuzi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na </w:t>
      </w:r>
      <w:r w:rsidR="00B25C65" w:rsidRPr="00206DB4">
        <w:rPr>
          <w:rFonts w:ascii="Times New Roman" w:hAnsi="Times New Roman" w:cs="Times New Roman"/>
          <w:sz w:val="28"/>
          <w:szCs w:val="28"/>
        </w:rPr>
        <w:t>kat.par.br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. </w:t>
      </w:r>
      <w:r w:rsidR="00C3132B">
        <w:rPr>
          <w:rFonts w:ascii="Times New Roman" w:hAnsi="Times New Roman" w:cs="Times New Roman"/>
          <w:sz w:val="28"/>
          <w:szCs w:val="28"/>
        </w:rPr>
        <w:t>279/1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, KO </w:t>
      </w:r>
      <w:r w:rsidR="00C3132B">
        <w:rPr>
          <w:rFonts w:ascii="Times New Roman" w:hAnsi="Times New Roman" w:cs="Times New Roman"/>
          <w:sz w:val="28"/>
          <w:szCs w:val="28"/>
        </w:rPr>
        <w:t>VRANJ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, </w:t>
      </w:r>
      <w:r w:rsidR="00B25C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132B">
        <w:rPr>
          <w:rFonts w:ascii="Times New Roman" w:hAnsi="Times New Roman" w:cs="Times New Roman"/>
          <w:sz w:val="28"/>
          <w:szCs w:val="28"/>
        </w:rPr>
        <w:t>Ljekaj</w:t>
      </w:r>
      <w:proofErr w:type="spellEnd"/>
      <w:r w:rsidR="00B25C65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opština</w:t>
      </w:r>
      <w:proofErr w:type="spellEnd"/>
      <w:r w:rsidR="00B2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T</w:t>
      </w:r>
      <w:r w:rsidR="00B25C65" w:rsidRPr="00206DB4">
        <w:rPr>
          <w:rFonts w:ascii="Times New Roman" w:hAnsi="Times New Roman" w:cs="Times New Roman"/>
          <w:sz w:val="28"/>
          <w:szCs w:val="28"/>
        </w:rPr>
        <w:t>uzi</w:t>
      </w:r>
      <w:proofErr w:type="spellEnd"/>
      <w:r w:rsidR="00C313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3132B">
        <w:rPr>
          <w:rFonts w:ascii="Times New Roman" w:hAnsi="Times New Roman" w:cs="Times New Roman"/>
          <w:sz w:val="28"/>
          <w:szCs w:val="28"/>
        </w:rPr>
        <w:t>zahvatu</w:t>
      </w:r>
      <w:proofErr w:type="spellEnd"/>
      <w:r w:rsidR="00C3132B">
        <w:rPr>
          <w:rFonts w:ascii="Times New Roman" w:hAnsi="Times New Roman" w:cs="Times New Roman"/>
          <w:sz w:val="28"/>
          <w:szCs w:val="28"/>
        </w:rPr>
        <w:t xml:space="preserve"> PUP</w:t>
      </w:r>
      <w:r w:rsidR="00B603A7">
        <w:rPr>
          <w:rFonts w:ascii="Times New Roman" w:hAnsi="Times New Roman" w:cs="Times New Roman"/>
          <w:sz w:val="28"/>
          <w:szCs w:val="28"/>
        </w:rPr>
        <w:t>-a P</w:t>
      </w:r>
      <w:bookmarkStart w:id="0" w:name="_GoBack"/>
      <w:bookmarkEnd w:id="0"/>
      <w:r w:rsidR="00B25C65" w:rsidRPr="00206DB4">
        <w:rPr>
          <w:rFonts w:ascii="Times New Roman" w:hAnsi="Times New Roman" w:cs="Times New Roman"/>
          <w:sz w:val="28"/>
          <w:szCs w:val="28"/>
        </w:rPr>
        <w:t>odgorica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C3132B">
        <w:rPr>
          <w:rFonts w:ascii="Times New Roman" w:hAnsi="Times New Roman" w:cs="Times New Roman"/>
          <w:sz w:val="28"/>
          <w:szCs w:val="28"/>
          <w:lang w:val="sr-Latn-RS"/>
        </w:rPr>
        <w:t xml:space="preserve">9614 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 xml:space="preserve">od </w:t>
      </w:r>
      <w:r w:rsidR="00C3132B">
        <w:rPr>
          <w:rFonts w:ascii="Times New Roman" w:hAnsi="Times New Roman" w:cs="Times New Roman"/>
          <w:sz w:val="28"/>
          <w:szCs w:val="28"/>
          <w:lang w:val="sr-Latn-RS"/>
        </w:rPr>
        <w:t>29.</w:t>
      </w:r>
      <w:proofErr w:type="gramStart"/>
      <w:r w:rsidR="00C3132B">
        <w:rPr>
          <w:rFonts w:ascii="Times New Roman" w:hAnsi="Times New Roman" w:cs="Times New Roman"/>
          <w:sz w:val="28"/>
          <w:szCs w:val="28"/>
          <w:lang w:val="sr-Latn-RS"/>
        </w:rPr>
        <w:t>09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proofErr w:type="gram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C3132B">
        <w:rPr>
          <w:rFonts w:ascii="Times New Roman" w:hAnsi="Times New Roman" w:cs="Times New Roman"/>
          <w:sz w:val="28"/>
          <w:szCs w:val="28"/>
          <w:lang w:val="sr-Latn-RS"/>
        </w:rPr>
        <w:t>29.9.2022.godine, do 03.10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.godine u terminu od 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09 00 do 14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6DB4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sectPr w:rsidR="00072DED" w:rsidRPr="00206DB4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75" w:rsidRDefault="00786275" w:rsidP="00B22B5D">
      <w:pPr>
        <w:spacing w:after="0" w:line="240" w:lineRule="auto"/>
      </w:pPr>
      <w:r>
        <w:separator/>
      </w:r>
    </w:p>
  </w:endnote>
  <w:endnote w:type="continuationSeparator" w:id="0">
    <w:p w:rsidR="00786275" w:rsidRDefault="00786275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75" w:rsidRDefault="00786275" w:rsidP="00B22B5D">
      <w:pPr>
        <w:spacing w:after="0" w:line="240" w:lineRule="auto"/>
      </w:pPr>
      <w:r>
        <w:separator/>
      </w:r>
    </w:p>
  </w:footnote>
  <w:footnote w:type="continuationSeparator" w:id="0">
    <w:p w:rsidR="00786275" w:rsidRDefault="00786275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786275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06DB4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2604"/>
    <w:rsid w:val="00756710"/>
    <w:rsid w:val="00784523"/>
    <w:rsid w:val="00786275"/>
    <w:rsid w:val="00791F83"/>
    <w:rsid w:val="00793841"/>
    <w:rsid w:val="007976AA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25C65"/>
    <w:rsid w:val="00B30259"/>
    <w:rsid w:val="00B52BDF"/>
    <w:rsid w:val="00B54F4E"/>
    <w:rsid w:val="00B603A7"/>
    <w:rsid w:val="00B62071"/>
    <w:rsid w:val="00B62368"/>
    <w:rsid w:val="00B64B6F"/>
    <w:rsid w:val="00C106C5"/>
    <w:rsid w:val="00C3132B"/>
    <w:rsid w:val="00C8048A"/>
    <w:rsid w:val="00C82560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1D1A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5268B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1C52-1B74-4ED9-B066-D5BABB3B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20</cp:revision>
  <cp:lastPrinted>2022-05-18T10:45:00Z</cp:lastPrinted>
  <dcterms:created xsi:type="dcterms:W3CDTF">2020-12-03T07:18:00Z</dcterms:created>
  <dcterms:modified xsi:type="dcterms:W3CDTF">2022-09-29T08:43:00Z</dcterms:modified>
</cp:coreProperties>
</file>