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946A" w14:textId="77777777" w:rsidR="00373A33" w:rsidRPr="00160282" w:rsidRDefault="00D720A3">
      <w:pPr>
        <w:pStyle w:val="N02Y"/>
        <w:rPr>
          <w:rFonts w:ascii="Garamond" w:hAnsi="Garamond"/>
          <w:b/>
          <w:bCs/>
          <w:sz w:val="24"/>
          <w:szCs w:val="24"/>
          <w:lang w:val="sq-AL"/>
        </w:rPr>
      </w:pPr>
      <w:r w:rsidRPr="00160282">
        <w:rPr>
          <w:rFonts w:ascii="Garamond" w:hAnsi="Garamond"/>
          <w:b/>
          <w:bCs/>
          <w:sz w:val="24"/>
          <w:szCs w:val="24"/>
          <w:lang w:val="sq-AL"/>
        </w:rPr>
        <w:t xml:space="preserve">Propozim i Vendimit </w:t>
      </w:r>
    </w:p>
    <w:p w14:paraId="1ECE79C1" w14:textId="2AD56026" w:rsidR="00D720A3" w:rsidRPr="00160282" w:rsidRDefault="00D720A3" w:rsidP="00D720A3">
      <w:pPr>
        <w:pStyle w:val="N03Y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Bazuar në nenin 8 paragrafin 2, dhe në lidhje me nenet 12 dhe 13 të Ligjit për Monumentet (“Fleta Zyrtare e Malit të Zi”, nr. 40/08, 40/11, 02/17) dhe nenit 53 paragrafi 1 pika 2 të Statutit të Komunës  (“Fleta Zyrtare e Malit të Zi - dispozitat komunale”, nr. 024/19, 20/05, 22/051/22 dhe 055/22), me pëlqimin e marrë më parë të Ministrisë së Kulturës dhe Medias, Aktvendimi  UPI 01. -041/22-87/2 prej më 12.12.2022, Kuvendi i Komunës së Tuzit në seancën e mbajtur më </w:t>
      </w:r>
      <w:r w:rsidR="008B1B82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____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.12.2022 k</w:t>
      </w:r>
      <w:r w:rsidR="008B1B82"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a 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sjellë</w:t>
      </w:r>
    </w:p>
    <w:p w14:paraId="7221B362" w14:textId="7C36DD5B" w:rsidR="00235D05" w:rsidRPr="00160282" w:rsidRDefault="00235D05" w:rsidP="000A372D">
      <w:pPr>
        <w:pStyle w:val="N03Y"/>
        <w:rPr>
          <w:rFonts w:ascii="Garamond" w:hAnsi="Garamond"/>
          <w:sz w:val="24"/>
          <w:szCs w:val="24"/>
          <w:lang w:val="sq-AL"/>
        </w:rPr>
      </w:pPr>
      <w:r w:rsidRPr="00160282">
        <w:rPr>
          <w:rFonts w:ascii="Garamond" w:hAnsi="Garamond"/>
          <w:sz w:val="24"/>
          <w:szCs w:val="24"/>
          <w:lang w:val="sq-AL"/>
        </w:rPr>
        <w:t>PROGRAM</w:t>
      </w:r>
      <w:r w:rsidR="00160282">
        <w:rPr>
          <w:rFonts w:ascii="Garamond" w:hAnsi="Garamond"/>
          <w:sz w:val="24"/>
          <w:szCs w:val="24"/>
          <w:lang w:val="sq-AL"/>
        </w:rPr>
        <w:t>IN</w:t>
      </w:r>
    </w:p>
    <w:p w14:paraId="11EBA161" w14:textId="538D8E16" w:rsidR="00235D05" w:rsidRPr="00160282" w:rsidRDefault="00160282">
      <w:pPr>
        <w:pStyle w:val="N03Y"/>
        <w:rPr>
          <w:rFonts w:ascii="Garamond" w:hAnsi="Garamond"/>
          <w:sz w:val="24"/>
          <w:szCs w:val="24"/>
          <w:lang w:val="sq-AL"/>
        </w:rPr>
      </w:pPr>
      <w:bookmarkStart w:id="0" w:name="_Hlk122087960"/>
      <w:r>
        <w:rPr>
          <w:rFonts w:ascii="Garamond" w:hAnsi="Garamond"/>
          <w:sz w:val="24"/>
          <w:szCs w:val="24"/>
          <w:lang w:val="sq-AL"/>
        </w:rPr>
        <w:t>p</w:t>
      </w:r>
      <w:r w:rsidR="00D720A3" w:rsidRPr="00160282">
        <w:rPr>
          <w:rFonts w:ascii="Garamond" w:hAnsi="Garamond"/>
          <w:sz w:val="24"/>
          <w:szCs w:val="24"/>
          <w:lang w:val="sq-AL"/>
        </w:rPr>
        <w:t xml:space="preserve">ër ngritjen e </w:t>
      </w:r>
      <w:proofErr w:type="spellStart"/>
      <w:r w:rsidR="00D720A3" w:rsidRPr="00160282">
        <w:rPr>
          <w:rFonts w:ascii="Garamond" w:hAnsi="Garamond"/>
          <w:sz w:val="24"/>
          <w:szCs w:val="24"/>
          <w:lang w:val="sq-AL"/>
        </w:rPr>
        <w:t>memorialeve</w:t>
      </w:r>
      <w:proofErr w:type="spellEnd"/>
      <w:r w:rsidR="00D720A3" w:rsidRPr="00160282">
        <w:rPr>
          <w:rFonts w:ascii="Garamond" w:hAnsi="Garamond"/>
          <w:sz w:val="24"/>
          <w:szCs w:val="24"/>
          <w:lang w:val="sq-AL"/>
        </w:rPr>
        <w:t xml:space="preserve"> në Komunën e Tuz</w:t>
      </w:r>
      <w:r w:rsidR="00F83469" w:rsidRPr="00160282">
        <w:rPr>
          <w:rFonts w:ascii="Garamond" w:hAnsi="Garamond"/>
          <w:sz w:val="24"/>
          <w:szCs w:val="24"/>
          <w:lang w:val="sq-AL"/>
        </w:rPr>
        <w:t>it</w:t>
      </w:r>
      <w:r w:rsidR="00D720A3" w:rsidRPr="00160282">
        <w:rPr>
          <w:rFonts w:ascii="Garamond" w:hAnsi="Garamond"/>
          <w:sz w:val="24"/>
          <w:szCs w:val="24"/>
          <w:lang w:val="sq-AL"/>
        </w:rPr>
        <w:t xml:space="preserve"> për vitin 2022 </w:t>
      </w:r>
    </w:p>
    <w:bookmarkEnd w:id="0"/>
    <w:p w14:paraId="763BAAB4" w14:textId="77777777" w:rsidR="00F83469" w:rsidRPr="00160282" w:rsidRDefault="00F83469">
      <w:pPr>
        <w:pStyle w:val="N01X"/>
        <w:rPr>
          <w:rFonts w:ascii="Garamond" w:hAnsi="Garamond"/>
          <w:lang w:val="sq-AL"/>
        </w:rPr>
      </w:pPr>
    </w:p>
    <w:p w14:paraId="179AB393" w14:textId="4DACB8D5" w:rsidR="00235D05" w:rsidRPr="00160282" w:rsidRDefault="00D720A3">
      <w:pPr>
        <w:pStyle w:val="N01X"/>
        <w:rPr>
          <w:rFonts w:ascii="Garamond" w:hAnsi="Garamond"/>
          <w:lang w:val="sq-AL"/>
        </w:rPr>
      </w:pPr>
      <w:r w:rsidRPr="00160282">
        <w:rPr>
          <w:rFonts w:ascii="Garamond" w:hAnsi="Garamond"/>
          <w:lang w:val="sq-AL"/>
        </w:rPr>
        <w:t>HYRJE</w:t>
      </w:r>
    </w:p>
    <w:p w14:paraId="24E7BDC2" w14:textId="77777777" w:rsidR="000A372D" w:rsidRPr="00160282" w:rsidRDefault="000A372D" w:rsidP="00F83469">
      <w:pPr>
        <w:pStyle w:val="T30X"/>
        <w:ind w:firstLine="720"/>
        <w:jc w:val="left"/>
        <w:rPr>
          <w:rFonts w:ascii="Garamond" w:hAnsi="Garamond"/>
          <w:sz w:val="24"/>
          <w:szCs w:val="24"/>
          <w:lang w:val="sq-AL"/>
        </w:rPr>
      </w:pPr>
      <w:r w:rsidRPr="00160282">
        <w:rPr>
          <w:rFonts w:ascii="Garamond" w:hAnsi="Garamond"/>
          <w:sz w:val="24"/>
          <w:szCs w:val="24"/>
          <w:lang w:val="sq-AL"/>
        </w:rPr>
        <w:t xml:space="preserve">Ky program, në përputhje me Ligjin mbi </w:t>
      </w:r>
      <w:proofErr w:type="spellStart"/>
      <w:r w:rsidRPr="00160282">
        <w:rPr>
          <w:rFonts w:ascii="Garamond" w:hAnsi="Garamond"/>
          <w:sz w:val="24"/>
          <w:szCs w:val="24"/>
          <w:lang w:val="sq-AL"/>
        </w:rPr>
        <w:t>Memorialet</w:t>
      </w:r>
      <w:proofErr w:type="spellEnd"/>
      <w:r w:rsidRPr="00160282">
        <w:rPr>
          <w:rFonts w:ascii="Garamond" w:hAnsi="Garamond"/>
          <w:sz w:val="24"/>
          <w:szCs w:val="24"/>
          <w:lang w:val="sq-AL"/>
        </w:rPr>
        <w:t xml:space="preserve"> (“Fleta Zyrtare e Malit të Zi”, nr. 40/08, 40/11 dhe 2/17), përcakton </w:t>
      </w:r>
      <w:proofErr w:type="spellStart"/>
      <w:r w:rsidRPr="00160282">
        <w:rPr>
          <w:rFonts w:ascii="Garamond" w:hAnsi="Garamond"/>
          <w:sz w:val="24"/>
          <w:szCs w:val="24"/>
          <w:lang w:val="sq-AL"/>
        </w:rPr>
        <w:t>memorialet</w:t>
      </w:r>
      <w:proofErr w:type="spellEnd"/>
      <w:r w:rsidRPr="00160282">
        <w:rPr>
          <w:rFonts w:ascii="Garamond" w:hAnsi="Garamond"/>
          <w:sz w:val="24"/>
          <w:szCs w:val="24"/>
          <w:lang w:val="sq-AL"/>
        </w:rPr>
        <w:t xml:space="preserve"> që do të ngrihen në territorin e komunës së Tuzit, llojin dhe mënyrën e ngritjes së </w:t>
      </w:r>
      <w:proofErr w:type="spellStart"/>
      <w:r w:rsidRPr="00160282">
        <w:rPr>
          <w:rFonts w:ascii="Garamond" w:hAnsi="Garamond"/>
          <w:sz w:val="24"/>
          <w:szCs w:val="24"/>
          <w:lang w:val="sq-AL"/>
        </w:rPr>
        <w:t>memorialeve</w:t>
      </w:r>
      <w:proofErr w:type="spellEnd"/>
      <w:r w:rsidRPr="00160282">
        <w:rPr>
          <w:rFonts w:ascii="Garamond" w:hAnsi="Garamond"/>
          <w:sz w:val="24"/>
          <w:szCs w:val="24"/>
          <w:lang w:val="sq-AL"/>
        </w:rPr>
        <w:t>, një përshkrim të kuptimit simbolik si dhe elementë të tjerë të nevojshëm për zbatimin e Programit.</w:t>
      </w:r>
    </w:p>
    <w:p w14:paraId="69678D85" w14:textId="77777777" w:rsidR="000A372D" w:rsidRPr="00160282" w:rsidRDefault="000A372D" w:rsidP="00F83469">
      <w:pPr>
        <w:pStyle w:val="T30X"/>
        <w:ind w:firstLine="720"/>
        <w:jc w:val="left"/>
        <w:rPr>
          <w:rFonts w:ascii="Garamond" w:hAnsi="Garamond"/>
          <w:sz w:val="24"/>
          <w:szCs w:val="24"/>
          <w:lang w:val="sq-AL"/>
        </w:rPr>
      </w:pPr>
      <w:r w:rsidRPr="00160282">
        <w:rPr>
          <w:rFonts w:ascii="Garamond" w:hAnsi="Garamond"/>
          <w:sz w:val="24"/>
          <w:szCs w:val="24"/>
          <w:lang w:val="sq-AL"/>
        </w:rPr>
        <w:t xml:space="preserve">Sipas nenit 1 të ligjit në fjalë, </w:t>
      </w:r>
      <w:proofErr w:type="spellStart"/>
      <w:r w:rsidRPr="00160282">
        <w:rPr>
          <w:rFonts w:ascii="Garamond" w:hAnsi="Garamond"/>
          <w:sz w:val="24"/>
          <w:szCs w:val="24"/>
          <w:lang w:val="sq-AL"/>
        </w:rPr>
        <w:t>memorialet</w:t>
      </w:r>
      <w:proofErr w:type="spellEnd"/>
      <w:r w:rsidRPr="00160282">
        <w:rPr>
          <w:rFonts w:ascii="Garamond" w:hAnsi="Garamond"/>
          <w:sz w:val="24"/>
          <w:szCs w:val="24"/>
          <w:lang w:val="sq-AL"/>
        </w:rPr>
        <w:t xml:space="preserve"> </w:t>
      </w:r>
      <w:r w:rsidR="002B67BF" w:rsidRPr="00160282">
        <w:rPr>
          <w:rFonts w:ascii="Garamond" w:hAnsi="Garamond"/>
          <w:sz w:val="24"/>
          <w:szCs w:val="24"/>
          <w:lang w:val="sq-AL"/>
        </w:rPr>
        <w:t>përherë</w:t>
      </w:r>
      <w:r w:rsidRPr="00160282">
        <w:rPr>
          <w:rFonts w:ascii="Garamond" w:hAnsi="Garamond"/>
          <w:sz w:val="24"/>
          <w:szCs w:val="24"/>
          <w:lang w:val="sq-AL"/>
        </w:rPr>
        <w:t xml:space="preserve"> ngjarje të rëndësishme, ruajnë kujtimet e personaliteteve të shquara, ushqejnë idealet njerëzore dhe traditat kulturore-historike, nderojnë luftëtarët e lirisë, viktimat civile të luftës dhe vuajtjet masive njerëzore.</w:t>
      </w:r>
    </w:p>
    <w:p w14:paraId="44AD238C" w14:textId="77777777" w:rsidR="000A372D" w:rsidRPr="00160282" w:rsidRDefault="000A372D" w:rsidP="00F83469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60282">
        <w:rPr>
          <w:rFonts w:ascii="Garamond" w:hAnsi="Garamond"/>
          <w:sz w:val="24"/>
          <w:szCs w:val="24"/>
          <w:lang w:val="sq-AL"/>
        </w:rPr>
        <w:t>Memorial</w:t>
      </w:r>
      <w:r w:rsidR="002B67BF" w:rsidRPr="00160282">
        <w:rPr>
          <w:rFonts w:ascii="Garamond" w:hAnsi="Garamond"/>
          <w:sz w:val="24"/>
          <w:szCs w:val="24"/>
          <w:lang w:val="sq-AL"/>
        </w:rPr>
        <w:t>i</w:t>
      </w:r>
      <w:r w:rsidRPr="00160282">
        <w:rPr>
          <w:rFonts w:ascii="Garamond" w:hAnsi="Garamond"/>
          <w:sz w:val="24"/>
          <w:szCs w:val="24"/>
          <w:lang w:val="sq-AL"/>
        </w:rPr>
        <w:t xml:space="preserve"> është një objekt përkujtimor që kontribuon në ruajtjen e përhershme të vlerave nga paragrafi 2 i këtij programi me pamjen, përmbajtjen, shenjat ose mbishkrimin e tij.</w:t>
      </w:r>
    </w:p>
    <w:p w14:paraId="413991D8" w14:textId="77777777" w:rsidR="00235D05" w:rsidRPr="00160282" w:rsidRDefault="000A372D" w:rsidP="000A372D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160282">
        <w:rPr>
          <w:rFonts w:ascii="Garamond" w:hAnsi="Garamond"/>
          <w:sz w:val="24"/>
          <w:szCs w:val="24"/>
          <w:lang w:val="sq-AL"/>
        </w:rPr>
        <w:t>Memorial konsiderohet edhe emri i institucionit publik, ndërmarrjes publike, vendbanimit dhe objektit publik (rrugë, shesh, rrug</w:t>
      </w:r>
      <w:r w:rsidR="002B67BF" w:rsidRPr="00160282">
        <w:rPr>
          <w:rFonts w:ascii="Garamond" w:hAnsi="Garamond"/>
          <w:sz w:val="24"/>
          <w:szCs w:val="24"/>
          <w:lang w:val="sq-AL"/>
        </w:rPr>
        <w:t>icë</w:t>
      </w:r>
      <w:r w:rsidRPr="00160282">
        <w:rPr>
          <w:rFonts w:ascii="Garamond" w:hAnsi="Garamond"/>
          <w:sz w:val="24"/>
          <w:szCs w:val="24"/>
          <w:lang w:val="sq-AL"/>
        </w:rPr>
        <w:t>, park, shatërvan etj.) nëse simbolizon vlerat nga neni 1 i këtij ligji.</w:t>
      </w:r>
    </w:p>
    <w:p w14:paraId="589CD918" w14:textId="77777777" w:rsidR="000A372D" w:rsidRPr="00160282" w:rsidRDefault="000A372D" w:rsidP="000A372D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14414E74" w14:textId="77777777" w:rsidR="000A372D" w:rsidRPr="00160282" w:rsidRDefault="000A372D" w:rsidP="00B83F84">
      <w:pPr>
        <w:pStyle w:val="N01X"/>
        <w:rPr>
          <w:rFonts w:ascii="Garamond" w:hAnsi="Garamond"/>
          <w:lang w:val="sq-AL"/>
        </w:rPr>
      </w:pPr>
      <w:r w:rsidRPr="00160282">
        <w:rPr>
          <w:rFonts w:ascii="Garamond" w:hAnsi="Garamond"/>
          <w:lang w:val="sq-AL"/>
        </w:rPr>
        <w:t>Ngritja e memoriali</w:t>
      </w:r>
      <w:r w:rsidR="00AE7B98" w:rsidRPr="00160282">
        <w:rPr>
          <w:rFonts w:ascii="Garamond" w:hAnsi="Garamond"/>
          <w:lang w:val="sq-AL"/>
        </w:rPr>
        <w:t>t</w:t>
      </w:r>
      <w:r w:rsidRPr="00160282">
        <w:rPr>
          <w:rFonts w:ascii="Garamond" w:hAnsi="Garamond"/>
          <w:lang w:val="sq-AL"/>
        </w:rPr>
        <w:t xml:space="preserve"> </w:t>
      </w:r>
      <w:r w:rsidR="002B67BF" w:rsidRPr="00160282">
        <w:rPr>
          <w:rFonts w:ascii="Garamond" w:hAnsi="Garamond"/>
          <w:lang w:val="sq-AL"/>
        </w:rPr>
        <w:t xml:space="preserve">përmes </w:t>
      </w:r>
      <w:r w:rsidRPr="00160282">
        <w:rPr>
          <w:rFonts w:ascii="Garamond" w:hAnsi="Garamond"/>
          <w:lang w:val="sq-AL"/>
        </w:rPr>
        <w:t>vendos</w:t>
      </w:r>
      <w:r w:rsidR="002B67BF" w:rsidRPr="00160282">
        <w:rPr>
          <w:rFonts w:ascii="Garamond" w:hAnsi="Garamond"/>
          <w:lang w:val="sq-AL"/>
        </w:rPr>
        <w:t>jes së</w:t>
      </w:r>
      <w:r w:rsidRPr="00160282">
        <w:rPr>
          <w:rFonts w:ascii="Garamond" w:hAnsi="Garamond"/>
          <w:lang w:val="sq-AL"/>
        </w:rPr>
        <w:t xml:space="preserve"> një </w:t>
      </w:r>
      <w:r w:rsidR="002B67BF" w:rsidRPr="00160282">
        <w:rPr>
          <w:rFonts w:ascii="Garamond" w:hAnsi="Garamond"/>
          <w:lang w:val="sq-AL"/>
        </w:rPr>
        <w:t>objekti përkujtimor</w:t>
      </w:r>
      <w:r w:rsidR="00AE7B98" w:rsidRPr="00160282">
        <w:rPr>
          <w:rFonts w:ascii="Garamond" w:hAnsi="Garamond"/>
          <w:lang w:val="sq-AL"/>
        </w:rPr>
        <w:t>,</w:t>
      </w:r>
      <w:r w:rsidR="002B67BF" w:rsidRPr="00160282">
        <w:rPr>
          <w:rFonts w:ascii="Garamond" w:hAnsi="Garamond"/>
          <w:lang w:val="sq-AL"/>
        </w:rPr>
        <w:t xml:space="preserve"> pllake përkujtimore</w:t>
      </w:r>
      <w:r w:rsidR="00AE7B98" w:rsidRPr="00160282">
        <w:rPr>
          <w:rFonts w:ascii="Garamond" w:hAnsi="Garamond"/>
          <w:lang w:val="sq-AL"/>
        </w:rPr>
        <w:t>,</w:t>
      </w:r>
      <w:r w:rsidRPr="00160282">
        <w:rPr>
          <w:rFonts w:ascii="Garamond" w:hAnsi="Garamond"/>
          <w:lang w:val="sq-AL"/>
        </w:rPr>
        <w:t xml:space="preserve"> luftëtarë</w:t>
      </w:r>
      <w:r w:rsidR="00AE7B98" w:rsidRPr="00160282">
        <w:rPr>
          <w:rFonts w:ascii="Garamond" w:hAnsi="Garamond"/>
          <w:lang w:val="sq-AL"/>
        </w:rPr>
        <w:t>ve</w:t>
      </w:r>
      <w:r w:rsidRPr="00160282">
        <w:rPr>
          <w:rFonts w:ascii="Garamond" w:hAnsi="Garamond"/>
          <w:lang w:val="sq-AL"/>
        </w:rPr>
        <w:t xml:space="preserve"> </w:t>
      </w:r>
      <w:r w:rsidR="00AE7B98" w:rsidRPr="00160282">
        <w:rPr>
          <w:rFonts w:ascii="Garamond" w:hAnsi="Garamond"/>
          <w:lang w:val="sq-AL"/>
        </w:rPr>
        <w:t>të</w:t>
      </w:r>
      <w:r w:rsidRPr="00160282">
        <w:rPr>
          <w:rFonts w:ascii="Garamond" w:hAnsi="Garamond"/>
          <w:lang w:val="sq-AL"/>
        </w:rPr>
        <w:t xml:space="preserve"> rënë </w:t>
      </w:r>
      <w:r w:rsidR="00AE7B98" w:rsidRPr="00160282">
        <w:rPr>
          <w:rFonts w:ascii="Garamond" w:hAnsi="Garamond"/>
          <w:lang w:val="sq-AL"/>
        </w:rPr>
        <w:t>për</w:t>
      </w:r>
      <w:r w:rsidRPr="00160282">
        <w:rPr>
          <w:rFonts w:ascii="Garamond" w:hAnsi="Garamond"/>
          <w:lang w:val="sq-AL"/>
        </w:rPr>
        <w:t xml:space="preserve"> liri në vitin 1911, </w:t>
      </w:r>
      <w:r w:rsidR="00AE7B98" w:rsidRPr="00160282">
        <w:rPr>
          <w:rFonts w:ascii="Garamond" w:hAnsi="Garamond"/>
          <w:lang w:val="sq-AL"/>
        </w:rPr>
        <w:t>i</w:t>
      </w:r>
      <w:r w:rsidRPr="00160282">
        <w:rPr>
          <w:rFonts w:ascii="Garamond" w:hAnsi="Garamond"/>
          <w:lang w:val="sq-AL"/>
        </w:rPr>
        <w:t xml:space="preserve"> cil</w:t>
      </w:r>
      <w:r w:rsidR="00AE7B98" w:rsidRPr="00160282">
        <w:rPr>
          <w:rFonts w:ascii="Garamond" w:hAnsi="Garamond"/>
          <w:lang w:val="sq-AL"/>
        </w:rPr>
        <w:t>i</w:t>
      </w:r>
      <w:r w:rsidRPr="00160282">
        <w:rPr>
          <w:rFonts w:ascii="Garamond" w:hAnsi="Garamond"/>
          <w:lang w:val="sq-AL"/>
        </w:rPr>
        <w:t xml:space="preserve"> do të mbajë mbishkrimin e mëposhtëm:</w:t>
      </w:r>
    </w:p>
    <w:p w14:paraId="286B7EBA" w14:textId="77777777" w:rsidR="000A372D" w:rsidRPr="00160282" w:rsidRDefault="000A372D" w:rsidP="00B83F84">
      <w:pPr>
        <w:pStyle w:val="N01X"/>
        <w:rPr>
          <w:rFonts w:ascii="Garamond" w:hAnsi="Garamond"/>
          <w:lang w:val="sq-AL"/>
        </w:rPr>
      </w:pPr>
      <w:r w:rsidRPr="00160282">
        <w:rPr>
          <w:rFonts w:ascii="Garamond" w:hAnsi="Garamond"/>
          <w:lang w:val="sq-AL"/>
        </w:rPr>
        <w:t>DESHMORËT E LIRISË TË 25 Marsit 1911 /</w:t>
      </w:r>
      <w:r w:rsidR="002B67BF" w:rsidRPr="00160282">
        <w:rPr>
          <w:rFonts w:ascii="Garamond" w:hAnsi="Garamond"/>
          <w:lang w:val="sq-AL"/>
        </w:rPr>
        <w:t>/ PALI BORCI ZA SLOBOU 25. MARTA 1911. GODINE</w:t>
      </w:r>
      <w:r w:rsidRPr="00160282">
        <w:rPr>
          <w:rFonts w:ascii="Garamond" w:hAnsi="Garamond"/>
          <w:lang w:val="sq-AL"/>
        </w:rPr>
        <w:t xml:space="preserve"> </w:t>
      </w:r>
    </w:p>
    <w:p w14:paraId="3EE95D18" w14:textId="77777777" w:rsidR="00B83F84" w:rsidRPr="00160282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160282">
        <w:rPr>
          <w:rFonts w:ascii="Garamond" w:hAnsi="Garamond"/>
          <w:lang w:val="sq-AL"/>
        </w:rPr>
        <w:t>Kolë</w:t>
      </w:r>
      <w:proofErr w:type="spellEnd"/>
      <w:r w:rsidRPr="00160282">
        <w:rPr>
          <w:rFonts w:ascii="Garamond" w:hAnsi="Garamond"/>
          <w:lang w:val="sq-AL"/>
        </w:rPr>
        <w:t xml:space="preserve"> Marash </w:t>
      </w:r>
      <w:proofErr w:type="spellStart"/>
      <w:r w:rsidRPr="00160282">
        <w:rPr>
          <w:rFonts w:ascii="Garamond" w:hAnsi="Garamond"/>
          <w:lang w:val="sq-AL"/>
        </w:rPr>
        <w:t>Vata</w:t>
      </w:r>
      <w:proofErr w:type="spellEnd"/>
    </w:p>
    <w:p w14:paraId="19A52C0D" w14:textId="77777777" w:rsidR="00B83F84" w:rsidRPr="00160282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160282">
        <w:rPr>
          <w:rFonts w:ascii="Garamond" w:hAnsi="Garamond"/>
          <w:lang w:val="sq-AL"/>
        </w:rPr>
        <w:t>Zef</w:t>
      </w:r>
      <w:proofErr w:type="spellEnd"/>
      <w:r w:rsidRPr="00160282">
        <w:rPr>
          <w:rFonts w:ascii="Garamond" w:hAnsi="Garamond"/>
          <w:lang w:val="sq-AL"/>
        </w:rPr>
        <w:t xml:space="preserve"> Lan Ula</w:t>
      </w:r>
    </w:p>
    <w:p w14:paraId="7097A964" w14:textId="77777777" w:rsidR="00B83F84" w:rsidRPr="00160282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160282">
        <w:rPr>
          <w:rFonts w:ascii="Garamond" w:hAnsi="Garamond"/>
          <w:lang w:val="sq-AL"/>
        </w:rPr>
        <w:t>Fran</w:t>
      </w:r>
      <w:proofErr w:type="spellEnd"/>
      <w:r w:rsidRPr="00160282">
        <w:rPr>
          <w:rFonts w:ascii="Garamond" w:hAnsi="Garamond"/>
          <w:lang w:val="sq-AL"/>
        </w:rPr>
        <w:t xml:space="preserve"> Zekë </w:t>
      </w:r>
      <w:proofErr w:type="spellStart"/>
      <w:r w:rsidRPr="00160282">
        <w:rPr>
          <w:rFonts w:ascii="Garamond" w:hAnsi="Garamond"/>
          <w:lang w:val="sq-AL"/>
        </w:rPr>
        <w:t>Pllumi</w:t>
      </w:r>
      <w:proofErr w:type="spellEnd"/>
    </w:p>
    <w:p w14:paraId="054A43CA" w14:textId="77777777" w:rsidR="00B83F84" w:rsidRPr="00160282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160282">
        <w:rPr>
          <w:rFonts w:ascii="Garamond" w:hAnsi="Garamond"/>
          <w:lang w:val="sq-AL"/>
        </w:rPr>
        <w:t>Ujkë</w:t>
      </w:r>
      <w:proofErr w:type="spellEnd"/>
      <w:r w:rsidRPr="00160282">
        <w:rPr>
          <w:rFonts w:ascii="Garamond" w:hAnsi="Garamond"/>
          <w:lang w:val="sq-AL"/>
        </w:rPr>
        <w:t xml:space="preserve"> Gjelosh Leka</w:t>
      </w:r>
    </w:p>
    <w:p w14:paraId="0D174393" w14:textId="77777777" w:rsidR="00B83F84" w:rsidRPr="00160282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160282">
        <w:rPr>
          <w:rFonts w:ascii="Garamond" w:hAnsi="Garamond"/>
          <w:lang w:val="sq-AL"/>
        </w:rPr>
        <w:t>Pjetër</w:t>
      </w:r>
      <w:proofErr w:type="spellEnd"/>
      <w:r w:rsidRPr="00160282">
        <w:rPr>
          <w:rFonts w:ascii="Garamond" w:hAnsi="Garamond"/>
          <w:lang w:val="sq-AL"/>
        </w:rPr>
        <w:t xml:space="preserve"> Uc </w:t>
      </w:r>
      <w:proofErr w:type="spellStart"/>
      <w:r w:rsidRPr="00160282">
        <w:rPr>
          <w:rFonts w:ascii="Garamond" w:hAnsi="Garamond"/>
          <w:lang w:val="sq-AL"/>
        </w:rPr>
        <w:t>Martini</w:t>
      </w:r>
      <w:proofErr w:type="spellEnd"/>
    </w:p>
    <w:p w14:paraId="508811CD" w14:textId="77777777" w:rsidR="00B83F84" w:rsidRPr="00160282" w:rsidRDefault="00B83F84" w:rsidP="00B83F84">
      <w:pPr>
        <w:pStyle w:val="N01X"/>
        <w:rPr>
          <w:rFonts w:ascii="Garamond" w:hAnsi="Garamond"/>
          <w:lang w:val="sq-AL"/>
        </w:rPr>
      </w:pPr>
      <w:r w:rsidRPr="00160282">
        <w:rPr>
          <w:rFonts w:ascii="Garamond" w:hAnsi="Garamond"/>
          <w:lang w:val="sq-AL"/>
        </w:rPr>
        <w:t>Gjon Lulash Zeka</w:t>
      </w:r>
    </w:p>
    <w:p w14:paraId="0F1FD68B" w14:textId="77777777" w:rsidR="00B83F84" w:rsidRPr="00160282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160282">
        <w:rPr>
          <w:rFonts w:ascii="Garamond" w:hAnsi="Garamond"/>
          <w:lang w:val="sq-AL"/>
        </w:rPr>
        <w:t>Zef</w:t>
      </w:r>
      <w:proofErr w:type="spellEnd"/>
      <w:r w:rsidRPr="00160282">
        <w:rPr>
          <w:rFonts w:ascii="Garamond" w:hAnsi="Garamond"/>
          <w:lang w:val="sq-AL"/>
        </w:rPr>
        <w:t xml:space="preserve"> Lulash Zeka</w:t>
      </w:r>
    </w:p>
    <w:p w14:paraId="537649A4" w14:textId="77777777" w:rsidR="00B83F84" w:rsidRPr="00160282" w:rsidRDefault="00B83F84" w:rsidP="00B83F84">
      <w:pPr>
        <w:pStyle w:val="N01X"/>
        <w:rPr>
          <w:rFonts w:ascii="Garamond" w:hAnsi="Garamond"/>
          <w:lang w:val="sq-AL"/>
        </w:rPr>
      </w:pPr>
      <w:r w:rsidRPr="00160282">
        <w:rPr>
          <w:rFonts w:ascii="Garamond" w:hAnsi="Garamond"/>
          <w:lang w:val="sq-AL"/>
        </w:rPr>
        <w:t>Nikollë Mirash Gjoni</w:t>
      </w:r>
    </w:p>
    <w:p w14:paraId="7BF40CCA" w14:textId="77777777" w:rsidR="00B83F84" w:rsidRPr="00160282" w:rsidRDefault="00B83F84" w:rsidP="00B83F84">
      <w:pPr>
        <w:pStyle w:val="N01X"/>
        <w:rPr>
          <w:rFonts w:ascii="Garamond" w:hAnsi="Garamond"/>
          <w:lang w:val="sq-AL"/>
        </w:rPr>
      </w:pPr>
      <w:r w:rsidRPr="00160282">
        <w:rPr>
          <w:rFonts w:ascii="Garamond" w:hAnsi="Garamond"/>
          <w:lang w:val="sq-AL"/>
        </w:rPr>
        <w:t xml:space="preserve">Gjon </w:t>
      </w:r>
      <w:proofErr w:type="spellStart"/>
      <w:r w:rsidRPr="00160282">
        <w:rPr>
          <w:rFonts w:ascii="Garamond" w:hAnsi="Garamond"/>
          <w:lang w:val="sq-AL"/>
        </w:rPr>
        <w:t>Pllumi</w:t>
      </w:r>
      <w:proofErr w:type="spellEnd"/>
    </w:p>
    <w:p w14:paraId="5C9B9705" w14:textId="77777777" w:rsidR="002B67BF" w:rsidRPr="00160282" w:rsidRDefault="000A372D" w:rsidP="002B67BF">
      <w:pPr>
        <w:pStyle w:val="N01X"/>
        <w:rPr>
          <w:rFonts w:ascii="Garamond" w:hAnsi="Garamond"/>
          <w:lang w:val="sq-AL"/>
        </w:rPr>
      </w:pPr>
      <w:r w:rsidRPr="00160282">
        <w:rPr>
          <w:rFonts w:ascii="Garamond" w:hAnsi="Garamond"/>
          <w:lang w:val="sq-AL"/>
        </w:rPr>
        <w:t xml:space="preserve">U QOFTË NDERI E LAVDIA / </w:t>
      </w:r>
      <w:r w:rsidR="002B67BF" w:rsidRPr="00160282">
        <w:rPr>
          <w:rFonts w:ascii="Garamond" w:hAnsi="Garamond"/>
          <w:lang w:val="sq-AL"/>
        </w:rPr>
        <w:t>VJEČNA IM SLAVA I ČAST</w:t>
      </w:r>
    </w:p>
    <w:p w14:paraId="57FD7B8C" w14:textId="77777777" w:rsidR="000A372D" w:rsidRPr="00160282" w:rsidRDefault="000A372D" w:rsidP="000A372D">
      <w:pPr>
        <w:pStyle w:val="N01X"/>
        <w:rPr>
          <w:rFonts w:ascii="Garamond" w:hAnsi="Garamond"/>
          <w:lang w:val="sq-AL"/>
        </w:rPr>
      </w:pPr>
    </w:p>
    <w:p w14:paraId="327996CE" w14:textId="77777777" w:rsidR="002B67BF" w:rsidRPr="00160282" w:rsidRDefault="002B67BF" w:rsidP="00CE1548">
      <w:pPr>
        <w:pStyle w:val="N01X"/>
        <w:jc w:val="left"/>
        <w:rPr>
          <w:rFonts w:ascii="Garamond" w:eastAsia="Times New Roman" w:hAnsi="Garamond"/>
          <w:b w:val="0"/>
          <w:bCs w:val="0"/>
          <w:color w:val="auto"/>
          <w:lang w:val="sq-AL"/>
        </w:rPr>
      </w:pPr>
    </w:p>
    <w:p w14:paraId="7D9B3AB8" w14:textId="77777777" w:rsidR="002B67BF" w:rsidRPr="00160282" w:rsidRDefault="002B67BF" w:rsidP="00CE1548">
      <w:pPr>
        <w:pStyle w:val="N01X"/>
        <w:jc w:val="left"/>
        <w:rPr>
          <w:rFonts w:ascii="Garamond" w:eastAsia="Times New Roman" w:hAnsi="Garamond"/>
          <w:b w:val="0"/>
          <w:bCs w:val="0"/>
          <w:color w:val="auto"/>
          <w:lang w:val="sq-AL"/>
        </w:rPr>
      </w:pPr>
    </w:p>
    <w:p w14:paraId="47289589" w14:textId="0F106933" w:rsidR="000A372D" w:rsidRPr="00160282" w:rsidRDefault="000A372D" w:rsidP="00F83469">
      <w:pPr>
        <w:pStyle w:val="N01X"/>
        <w:ind w:firstLine="720"/>
        <w:jc w:val="both"/>
        <w:rPr>
          <w:rFonts w:ascii="Garamond" w:eastAsia="Times New Roman" w:hAnsi="Garamond"/>
          <w:b w:val="0"/>
          <w:bCs w:val="0"/>
          <w:color w:val="auto"/>
          <w:lang w:val="sq-AL"/>
        </w:rPr>
      </w:pP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lastRenderedPageBreak/>
        <w:t xml:space="preserve">Kryengritja e </w:t>
      </w:r>
      <w:r w:rsidR="00584A5D"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Malësisë</w:t>
      </w: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 xml:space="preserve"> më 24 mars 1911 është ngjarja më domethënëse që ka të bëjë me përkushtimin e mal</w:t>
      </w:r>
      <w:r w:rsidR="002B67BF"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ësorëve</w:t>
      </w: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 xml:space="preserve"> për lirinë dhe ruajtjen e identitetit, si dhe mbrojtjen e dinjitetit të tyre njerëzor dhe kombëtar. Perandoria Osmane u mohoi atyre çdo liri për pesë shekuj, dhe shpërthimi i kësaj kryengritje u solli nder atyre si pjesëmarrës, familjeve dhe vendit të tyre. Liria, ideali më i lartë njerëzor, frymëzon të gjithë </w:t>
      </w:r>
      <w:r w:rsidR="002B67BF"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m</w:t>
      </w: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al</w:t>
      </w:r>
      <w:r w:rsidR="002B67BF"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ësorët</w:t>
      </w: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 xml:space="preserve"> që i përgjigjen thirrjes së brendshme për të sakrifikuar jetën e tyre për </w:t>
      </w:r>
      <w:r w:rsidR="00584A5D"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Malësinë</w:t>
      </w: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 xml:space="preserve"> e tyre të dashur në pragun e tyre të shenjtë. Kryengritja u mbështet nga Mbretëria e Malit të Zi, mbështetje konkrete u dha nga malazezët nga Kuç</w:t>
      </w:r>
      <w:r w:rsidR="002B67BF"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i</w:t>
      </w: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 xml:space="preserve"> dhe </w:t>
      </w:r>
      <w:proofErr w:type="spellStart"/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Fu</w:t>
      </w:r>
      <w:r w:rsidR="002B67BF"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dnat</w:t>
      </w:r>
      <w:proofErr w:type="spellEnd"/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 xml:space="preserve">, ata të gjithë kishin të njëjtin synim çlirimin nga qeveria retrograde që po shkatërronte vendin, duke mohuar paqen dhe lirinë, duke mohuar </w:t>
      </w:r>
      <w:r w:rsidR="002B67BF"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të drejtën në</w:t>
      </w: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 xml:space="preserve"> identitet, në radhë të parë fenë, </w:t>
      </w:r>
      <w:r w:rsidR="002B67BF"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të drejtën në arsimim</w:t>
      </w: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, duke ruajtur pushtetin me dhunë e presion.</w:t>
      </w:r>
    </w:p>
    <w:p w14:paraId="7AFD89CC" w14:textId="77777777" w:rsidR="000A372D" w:rsidRPr="00160282" w:rsidRDefault="000A372D" w:rsidP="00F83469">
      <w:pPr>
        <w:pStyle w:val="N01X"/>
        <w:ind w:firstLine="720"/>
        <w:jc w:val="both"/>
        <w:rPr>
          <w:rFonts w:ascii="Garamond" w:hAnsi="Garamond"/>
          <w:b w:val="0"/>
          <w:bCs w:val="0"/>
          <w:color w:val="auto"/>
          <w:lang w:val="sq-AL"/>
        </w:rPr>
      </w:pPr>
      <w:r w:rsidRPr="00160282">
        <w:rPr>
          <w:rFonts w:ascii="Garamond" w:hAnsi="Garamond"/>
          <w:b w:val="0"/>
          <w:bCs w:val="0"/>
          <w:color w:val="auto"/>
          <w:lang w:val="sq-AL"/>
        </w:rPr>
        <w:t xml:space="preserve">Të nesërmen e shpërthimit të kryengritjes, trima </w:t>
      </w:r>
      <w:r w:rsidR="00584A5D" w:rsidRPr="00160282">
        <w:rPr>
          <w:rFonts w:ascii="Garamond" w:hAnsi="Garamond"/>
          <w:b w:val="0"/>
          <w:bCs w:val="0"/>
          <w:color w:val="auto"/>
          <w:lang w:val="sq-AL"/>
        </w:rPr>
        <w:t>malësor</w:t>
      </w:r>
      <w:r w:rsidRPr="00160282">
        <w:rPr>
          <w:rFonts w:ascii="Garamond" w:hAnsi="Garamond"/>
          <w:b w:val="0"/>
          <w:bCs w:val="0"/>
          <w:color w:val="auto"/>
          <w:lang w:val="sq-AL"/>
        </w:rPr>
        <w:t xml:space="preserve"> sulmuan kalanë turke dhe nëntë prej tyre vdiqën në </w:t>
      </w:r>
      <w:proofErr w:type="spellStart"/>
      <w:r w:rsidRPr="00160282">
        <w:rPr>
          <w:rFonts w:ascii="Garamond" w:hAnsi="Garamond"/>
          <w:b w:val="0"/>
          <w:bCs w:val="0"/>
          <w:color w:val="auto"/>
          <w:lang w:val="sq-AL"/>
        </w:rPr>
        <w:t>Cjepur</w:t>
      </w:r>
      <w:proofErr w:type="spellEnd"/>
      <w:r w:rsidRPr="00160282">
        <w:rPr>
          <w:rFonts w:ascii="Garamond" w:hAnsi="Garamond"/>
          <w:b w:val="0"/>
          <w:bCs w:val="0"/>
          <w:color w:val="auto"/>
          <w:lang w:val="sq-AL"/>
        </w:rPr>
        <w:t xml:space="preserve"> më 25 mars, e cila do të përjetësohet me vendosjen e një pllake përkujtimore. Populli i nderoi dhe i kujtoi, duke i kënduar, duke shënuar vendin ku vdiqën dhe duke shërbyer si frymëzim për njerëzit që nuk kursyen asgjë për lirinë e vendit të tyre, duke mos shkaktuar asnjë akt përçarjeje dhe urrejtjeje.</w:t>
      </w:r>
    </w:p>
    <w:p w14:paraId="6B9C5FED" w14:textId="77777777" w:rsidR="000A372D" w:rsidRPr="00160282" w:rsidRDefault="000A372D" w:rsidP="00F83469">
      <w:pPr>
        <w:pStyle w:val="N01X"/>
        <w:ind w:firstLine="720"/>
        <w:jc w:val="both"/>
        <w:rPr>
          <w:rFonts w:ascii="Garamond" w:eastAsia="Times New Roman" w:hAnsi="Garamond"/>
          <w:b w:val="0"/>
          <w:bCs w:val="0"/>
          <w:color w:val="auto"/>
          <w:lang w:val="sq-AL"/>
        </w:rPr>
      </w:pPr>
      <w:r w:rsidRPr="00160282">
        <w:rPr>
          <w:rFonts w:ascii="Garamond" w:eastAsia="Times New Roman" w:hAnsi="Garamond"/>
          <w:b w:val="0"/>
          <w:bCs w:val="0"/>
          <w:color w:val="auto"/>
          <w:lang w:val="sq-AL"/>
        </w:rPr>
        <w:t>Vendosja e këtij objekti përkujtimor do të nënkuptonte respektimin e aktit heroik të heronjve të rënë gjatë asaj kryengritjeje.</w:t>
      </w:r>
    </w:p>
    <w:p w14:paraId="6918FB02" w14:textId="77777777" w:rsidR="000A372D" w:rsidRPr="00160282" w:rsidRDefault="000A372D" w:rsidP="00F83469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160282">
        <w:rPr>
          <w:rFonts w:ascii="Garamond" w:hAnsi="Garamond"/>
          <w:lang w:val="sq-AL"/>
        </w:rPr>
        <w:t xml:space="preserve">2. </w:t>
      </w:r>
      <w:r w:rsidRPr="00160282">
        <w:rPr>
          <w:rFonts w:ascii="Garamond" w:hAnsi="Garamond"/>
          <w:b w:val="0"/>
          <w:bCs w:val="0"/>
          <w:lang w:val="sq-AL"/>
        </w:rPr>
        <w:t>Lloji i memorialit që do të ngrihet është pllakë përkujtimore.</w:t>
      </w:r>
    </w:p>
    <w:p w14:paraId="7E627BED" w14:textId="77777777" w:rsidR="000A372D" w:rsidRPr="00160282" w:rsidRDefault="000A372D" w:rsidP="00F83469">
      <w:pPr>
        <w:pStyle w:val="N01X"/>
        <w:jc w:val="both"/>
        <w:rPr>
          <w:rFonts w:ascii="Garamond" w:hAnsi="Garamond"/>
          <w:lang w:val="sq-AL"/>
        </w:rPr>
      </w:pPr>
      <w:r w:rsidRPr="00160282">
        <w:rPr>
          <w:rFonts w:ascii="Garamond" w:hAnsi="Garamond"/>
          <w:lang w:val="sq-AL"/>
        </w:rPr>
        <w:t xml:space="preserve">3. </w:t>
      </w:r>
      <w:r w:rsidRPr="00160282">
        <w:rPr>
          <w:rFonts w:ascii="Garamond" w:hAnsi="Garamond"/>
          <w:b w:val="0"/>
          <w:bCs w:val="0"/>
          <w:lang w:val="sq-AL"/>
        </w:rPr>
        <w:t xml:space="preserve">Memoriali do të ngrihet nga Bashkësia </w:t>
      </w:r>
      <w:r w:rsidR="00584A5D" w:rsidRPr="00160282">
        <w:rPr>
          <w:rFonts w:ascii="Garamond" w:hAnsi="Garamond"/>
          <w:b w:val="0"/>
          <w:bCs w:val="0"/>
          <w:lang w:val="sq-AL"/>
        </w:rPr>
        <w:t>Lokale</w:t>
      </w:r>
      <w:r w:rsidRPr="00160282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160282">
        <w:rPr>
          <w:rFonts w:ascii="Garamond" w:hAnsi="Garamond"/>
          <w:b w:val="0"/>
          <w:bCs w:val="0"/>
          <w:lang w:val="sq-AL"/>
        </w:rPr>
        <w:t>Traboin</w:t>
      </w:r>
      <w:proofErr w:type="spellEnd"/>
      <w:r w:rsidRPr="00160282">
        <w:rPr>
          <w:rFonts w:ascii="Garamond" w:hAnsi="Garamond"/>
          <w:b w:val="0"/>
          <w:bCs w:val="0"/>
          <w:lang w:val="sq-AL"/>
        </w:rPr>
        <w:t>.</w:t>
      </w:r>
    </w:p>
    <w:p w14:paraId="23392B23" w14:textId="77777777" w:rsidR="000A372D" w:rsidRPr="00160282" w:rsidRDefault="000A372D" w:rsidP="00F83469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160282">
        <w:rPr>
          <w:rFonts w:ascii="Garamond" w:hAnsi="Garamond"/>
          <w:lang w:val="sq-AL"/>
        </w:rPr>
        <w:t xml:space="preserve">4. </w:t>
      </w:r>
      <w:r w:rsidRPr="00160282">
        <w:rPr>
          <w:rFonts w:ascii="Garamond" w:hAnsi="Garamond"/>
          <w:b w:val="0"/>
          <w:bCs w:val="0"/>
          <w:lang w:val="sq-AL"/>
        </w:rPr>
        <w:t xml:space="preserve">Fondet për ngritjen e memorialit do të sigurohen nga mërgimtarët dhe vendasit nga </w:t>
      </w:r>
      <w:r w:rsidR="00584A5D" w:rsidRPr="00160282">
        <w:rPr>
          <w:rFonts w:ascii="Garamond" w:hAnsi="Garamond"/>
          <w:b w:val="0"/>
          <w:bCs w:val="0"/>
          <w:lang w:val="sq-AL"/>
        </w:rPr>
        <w:t>BL</w:t>
      </w:r>
      <w:r w:rsidRPr="00160282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160282">
        <w:rPr>
          <w:rFonts w:ascii="Garamond" w:hAnsi="Garamond"/>
          <w:b w:val="0"/>
          <w:bCs w:val="0"/>
          <w:lang w:val="sq-AL"/>
        </w:rPr>
        <w:t>Traboin</w:t>
      </w:r>
      <w:proofErr w:type="spellEnd"/>
      <w:r w:rsidRPr="00160282">
        <w:rPr>
          <w:rFonts w:ascii="Garamond" w:hAnsi="Garamond"/>
          <w:b w:val="0"/>
          <w:bCs w:val="0"/>
          <w:lang w:val="sq-AL"/>
        </w:rPr>
        <w:t>.</w:t>
      </w:r>
    </w:p>
    <w:p w14:paraId="633890E4" w14:textId="77777777" w:rsidR="000A372D" w:rsidRPr="00160282" w:rsidRDefault="000A372D" w:rsidP="00F83469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160282">
        <w:rPr>
          <w:rFonts w:ascii="Garamond" w:hAnsi="Garamond"/>
          <w:lang w:val="sq-AL"/>
        </w:rPr>
        <w:t xml:space="preserve">5. </w:t>
      </w:r>
      <w:r w:rsidRPr="00160282">
        <w:rPr>
          <w:rFonts w:ascii="Garamond" w:hAnsi="Garamond"/>
          <w:b w:val="0"/>
          <w:bCs w:val="0"/>
          <w:lang w:val="sq-AL"/>
        </w:rPr>
        <w:t>Afati i fundit për ngritjen e një memoriali duke vendosur një pllakë përkujtimore është dhjetor 2023.</w:t>
      </w:r>
    </w:p>
    <w:p w14:paraId="0C1B56FE" w14:textId="77777777" w:rsidR="00235D05" w:rsidRPr="00160282" w:rsidRDefault="000A372D" w:rsidP="00F83469">
      <w:pPr>
        <w:pStyle w:val="N01X"/>
        <w:jc w:val="both"/>
        <w:rPr>
          <w:rFonts w:ascii="Garamond" w:hAnsi="Garamond"/>
          <w:lang w:val="sq-AL"/>
        </w:rPr>
      </w:pPr>
      <w:r w:rsidRPr="00160282">
        <w:rPr>
          <w:rFonts w:ascii="Garamond" w:hAnsi="Garamond"/>
          <w:lang w:val="sq-AL"/>
        </w:rPr>
        <w:t xml:space="preserve">6. </w:t>
      </w:r>
      <w:r w:rsidRPr="00160282">
        <w:rPr>
          <w:rFonts w:ascii="Garamond" w:hAnsi="Garamond"/>
          <w:b w:val="0"/>
          <w:bCs w:val="0"/>
          <w:lang w:val="sq-AL"/>
        </w:rPr>
        <w:t>Në zbatimin e ngritjes së këtij memoriali, në përputhje me ligjin, do të merren vendime të veçanta.</w:t>
      </w:r>
    </w:p>
    <w:p w14:paraId="61E818BF" w14:textId="77777777" w:rsidR="000A372D" w:rsidRPr="00160282" w:rsidRDefault="000A372D" w:rsidP="00F83469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60282">
        <w:rPr>
          <w:rFonts w:ascii="Garamond" w:hAnsi="Garamond"/>
          <w:b/>
          <w:bCs/>
          <w:sz w:val="24"/>
          <w:szCs w:val="24"/>
          <w:lang w:val="sq-AL"/>
        </w:rPr>
        <w:t>Dispozitat përfundimtare</w:t>
      </w:r>
    </w:p>
    <w:p w14:paraId="3DF9CBC5" w14:textId="77777777" w:rsidR="00F83469" w:rsidRPr="00160282" w:rsidRDefault="00F83469" w:rsidP="00F83469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200A313A" w14:textId="03A076CA" w:rsidR="000A372D" w:rsidRPr="00160282" w:rsidRDefault="000A372D" w:rsidP="00F83469">
      <w:pPr>
        <w:pStyle w:val="N01Z"/>
        <w:ind w:firstLine="72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Ky Program hyn në fuqi ditën e publikimit në “</w:t>
      </w:r>
      <w:r w:rsidR="00584A5D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Fletën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Zyrtare të Malit të Zi – </w:t>
      </w:r>
      <w:r w:rsidR="00584A5D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Dispozitat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Komunale”.</w:t>
      </w:r>
    </w:p>
    <w:p w14:paraId="4C0D73CA" w14:textId="77777777" w:rsidR="00F83469" w:rsidRPr="00160282" w:rsidRDefault="00F83469" w:rsidP="008F06E4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5342B9B2" w14:textId="77777777" w:rsidR="00F83469" w:rsidRPr="00160282" w:rsidRDefault="00F83469" w:rsidP="008F06E4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0018ACE0" w14:textId="77777777" w:rsidR="00F83469" w:rsidRPr="00160282" w:rsidRDefault="00F83469" w:rsidP="008F06E4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4E123D77" w14:textId="77777777" w:rsidR="008B1B82" w:rsidRPr="00160282" w:rsidRDefault="008B1B82" w:rsidP="008B1B82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160282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2CCCEC27" w14:textId="77777777" w:rsidR="008B1B82" w:rsidRPr="00160282" w:rsidRDefault="008B1B82" w:rsidP="008B1B82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160282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4C8C598D" w14:textId="77777777" w:rsidR="008B1B82" w:rsidRPr="00160282" w:rsidRDefault="008B1B82" w:rsidP="008B1B82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3F5457B4" w14:textId="77777777" w:rsidR="008B1B82" w:rsidRPr="00160282" w:rsidRDefault="008B1B82" w:rsidP="008B1B82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21B57A4C" w14:textId="77777777" w:rsidR="008B1B82" w:rsidRPr="00160282" w:rsidRDefault="008B1B82" w:rsidP="008B1B8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160282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4A216A49" w14:textId="77777777" w:rsidR="008B1B82" w:rsidRPr="00160282" w:rsidRDefault="008B1B82" w:rsidP="008B1B8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160282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7EF74097" w14:textId="77777777" w:rsidR="008B1B82" w:rsidRPr="00160282" w:rsidRDefault="008B1B82" w:rsidP="008B1B82">
      <w:pPr>
        <w:pStyle w:val="N01Z"/>
        <w:rPr>
          <w:rFonts w:ascii="Garamond" w:hAnsi="Garamond"/>
          <w:sz w:val="24"/>
          <w:szCs w:val="24"/>
        </w:rPr>
      </w:pPr>
      <w:r w:rsidRPr="00160282">
        <w:rPr>
          <w:rFonts w:ascii="Garamond" w:hAnsi="Garamond"/>
          <w:sz w:val="24"/>
          <w:szCs w:val="24"/>
          <w:lang w:val="sr-Latn-BA"/>
        </w:rPr>
        <w:t>Fadil Kajoshaj</w:t>
      </w:r>
    </w:p>
    <w:p w14:paraId="5350CDFF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5DFB89A0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15DB9EBD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25656372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3DA4DB64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78815009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13E858C4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53A21578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0C1E7443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075EF5C0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61067E32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51242DE3" w14:textId="77777777" w:rsidR="008F06E4" w:rsidRPr="00160282" w:rsidRDefault="008F06E4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7401429D" w14:textId="38605E2A" w:rsidR="00013C88" w:rsidRPr="00160282" w:rsidRDefault="000A372D" w:rsidP="008B1B82">
      <w:pPr>
        <w:pStyle w:val="N01Z"/>
        <w:rPr>
          <w:rFonts w:ascii="Garamond" w:hAnsi="Garamond"/>
          <w:sz w:val="24"/>
          <w:szCs w:val="24"/>
          <w:lang w:val="sq-AL"/>
        </w:rPr>
      </w:pPr>
      <w:r w:rsidRPr="00160282">
        <w:rPr>
          <w:rFonts w:ascii="Garamond" w:hAnsi="Garamond"/>
          <w:sz w:val="24"/>
          <w:szCs w:val="24"/>
          <w:lang w:val="sq-AL"/>
        </w:rPr>
        <w:lastRenderedPageBreak/>
        <w:t>A</w:t>
      </w:r>
      <w:r w:rsidR="00160282" w:rsidRPr="00160282">
        <w:rPr>
          <w:rFonts w:ascii="Garamond" w:hAnsi="Garamond"/>
          <w:sz w:val="24"/>
          <w:szCs w:val="24"/>
          <w:lang w:val="sq-AL"/>
        </w:rPr>
        <w:t xml:space="preserve"> </w:t>
      </w:r>
      <w:r w:rsidRPr="00160282">
        <w:rPr>
          <w:rFonts w:ascii="Garamond" w:hAnsi="Garamond"/>
          <w:sz w:val="24"/>
          <w:szCs w:val="24"/>
          <w:lang w:val="sq-AL"/>
        </w:rPr>
        <w:t>r</w:t>
      </w:r>
      <w:r w:rsidR="00160282" w:rsidRPr="00160282">
        <w:rPr>
          <w:rFonts w:ascii="Garamond" w:hAnsi="Garamond"/>
          <w:sz w:val="24"/>
          <w:szCs w:val="24"/>
          <w:lang w:val="sq-AL"/>
        </w:rPr>
        <w:t xml:space="preserve"> </w:t>
      </w:r>
      <w:r w:rsidRPr="00160282">
        <w:rPr>
          <w:rFonts w:ascii="Garamond" w:hAnsi="Garamond"/>
          <w:sz w:val="24"/>
          <w:szCs w:val="24"/>
          <w:lang w:val="sq-AL"/>
        </w:rPr>
        <w:t>s</w:t>
      </w:r>
      <w:r w:rsidR="00160282" w:rsidRPr="00160282">
        <w:rPr>
          <w:rFonts w:ascii="Garamond" w:hAnsi="Garamond"/>
          <w:sz w:val="24"/>
          <w:szCs w:val="24"/>
          <w:lang w:val="sq-AL"/>
        </w:rPr>
        <w:t xml:space="preserve"> </w:t>
      </w:r>
      <w:r w:rsidRPr="00160282">
        <w:rPr>
          <w:rFonts w:ascii="Garamond" w:hAnsi="Garamond"/>
          <w:sz w:val="24"/>
          <w:szCs w:val="24"/>
          <w:lang w:val="sq-AL"/>
        </w:rPr>
        <w:t>y</w:t>
      </w:r>
      <w:r w:rsidR="00160282" w:rsidRPr="00160282">
        <w:rPr>
          <w:rFonts w:ascii="Garamond" w:hAnsi="Garamond"/>
          <w:sz w:val="24"/>
          <w:szCs w:val="24"/>
          <w:lang w:val="sq-AL"/>
        </w:rPr>
        <w:t xml:space="preserve"> </w:t>
      </w:r>
      <w:r w:rsidRPr="00160282">
        <w:rPr>
          <w:rFonts w:ascii="Garamond" w:hAnsi="Garamond"/>
          <w:sz w:val="24"/>
          <w:szCs w:val="24"/>
          <w:lang w:val="sq-AL"/>
        </w:rPr>
        <w:t>e</w:t>
      </w:r>
      <w:r w:rsidR="00160282" w:rsidRPr="00160282">
        <w:rPr>
          <w:rFonts w:ascii="Garamond" w:hAnsi="Garamond"/>
          <w:sz w:val="24"/>
          <w:szCs w:val="24"/>
          <w:lang w:val="sq-AL"/>
        </w:rPr>
        <w:t xml:space="preserve"> </w:t>
      </w:r>
      <w:r w:rsidRPr="00160282">
        <w:rPr>
          <w:rFonts w:ascii="Garamond" w:hAnsi="Garamond"/>
          <w:sz w:val="24"/>
          <w:szCs w:val="24"/>
          <w:lang w:val="sq-AL"/>
        </w:rPr>
        <w:t>t</w:t>
      </w:r>
      <w:r w:rsidR="00160282" w:rsidRPr="00160282">
        <w:rPr>
          <w:rFonts w:ascii="Garamond" w:hAnsi="Garamond"/>
          <w:sz w:val="24"/>
          <w:szCs w:val="24"/>
          <w:lang w:val="sq-AL"/>
        </w:rPr>
        <w:t xml:space="preserve"> </w:t>
      </w:r>
      <w:r w:rsidRPr="00160282">
        <w:rPr>
          <w:rFonts w:ascii="Garamond" w:hAnsi="Garamond"/>
          <w:sz w:val="24"/>
          <w:szCs w:val="24"/>
          <w:lang w:val="sq-AL"/>
        </w:rPr>
        <w:t>i</w:t>
      </w:r>
      <w:r w:rsidR="00160282" w:rsidRPr="00160282">
        <w:rPr>
          <w:rFonts w:ascii="Garamond" w:hAnsi="Garamond"/>
          <w:sz w:val="24"/>
          <w:szCs w:val="24"/>
          <w:lang w:val="sq-AL"/>
        </w:rPr>
        <w:t xml:space="preserve"> </w:t>
      </w:r>
      <w:r w:rsidRPr="00160282">
        <w:rPr>
          <w:rFonts w:ascii="Garamond" w:hAnsi="Garamond"/>
          <w:sz w:val="24"/>
          <w:szCs w:val="24"/>
          <w:lang w:val="sq-AL"/>
        </w:rPr>
        <w:t>m</w:t>
      </w:r>
    </w:p>
    <w:p w14:paraId="6F65897A" w14:textId="77777777" w:rsidR="00013C88" w:rsidRPr="00160282" w:rsidRDefault="00013C88" w:rsidP="00013C88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14:paraId="255804AF" w14:textId="77777777" w:rsidR="000A372D" w:rsidRPr="00160282" w:rsidRDefault="000A372D" w:rsidP="008B1B82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60282">
        <w:rPr>
          <w:rFonts w:ascii="Garamond" w:hAnsi="Garamond"/>
          <w:sz w:val="24"/>
          <w:szCs w:val="24"/>
          <w:lang w:val="sq-AL"/>
        </w:rPr>
        <w:t>Baza ligjore</w:t>
      </w:r>
      <w:r w:rsidR="00013C88" w:rsidRPr="00160282">
        <w:rPr>
          <w:rFonts w:ascii="Garamond" w:hAnsi="Garamond"/>
          <w:sz w:val="24"/>
          <w:szCs w:val="24"/>
          <w:lang w:val="sq-AL"/>
        </w:rPr>
        <w:t xml:space="preserve">: 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Baza ligjore për 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sjelljen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e Programit për ngritjen e </w:t>
      </w:r>
      <w:proofErr w:type="spellStart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memorialeve</w:t>
      </w:r>
      <w:proofErr w:type="spellEnd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në Komunën e </w:t>
      </w:r>
      <w:proofErr w:type="spellStart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Tuzës</w:t>
      </w:r>
      <w:proofErr w:type="spellEnd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në vitin 2022 gjendet në nenin 8 paragrafi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n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2 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të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Ligjit për </w:t>
      </w:r>
      <w:proofErr w:type="spellStart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Memorialet</w:t>
      </w:r>
      <w:proofErr w:type="spellEnd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(“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Fl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eta Zyrtare e Malit të Zi”, nr. 40/08, 40/11, 02. /17), i cili përcakton se monumentet do të ngrihen në përputhje me programin për ngritjen e </w:t>
      </w:r>
      <w:proofErr w:type="spellStart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memorialeve</w:t>
      </w:r>
      <w:proofErr w:type="spellEnd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(në tekstin e mëtejmë: Programi), të cilin e miraton kuvendi komunal, 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kuvendi i 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kryeqyteti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t 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dhe 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kuvendi i selisë së 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kryeqyteti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t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(në tekstin e mëtejmë: kuvendi komunal), me pëlqimin paraprak të organit kompetent të administratës shtetërore për çështje të kulturës (në tekstin e mëtejmë: organi kompetent), neni 12 i Ligjit për Monumentet (“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Fl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eta Zyrtare e Malit të Zi”, nr. 40/08, 40/11, 17/02/17) përcakton.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që Propozimi i Programit t'i dorëzohet 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organit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kompetent për dhënien e pëlqimit në lidhje me vlerat e referuara në nenin 11 paragrafi 1 pika 1 të këtij ligji për të cilin është planifikuar të ngrihet memoriali dhe për arsyet e modifikimit, përfundimit, zhvendosja, zëvendësimi ose heqja e memorialit.</w:t>
      </w:r>
    </w:p>
    <w:p w14:paraId="3CB86EB0" w14:textId="77777777" w:rsidR="000A372D" w:rsidRPr="00160282" w:rsidRDefault="000A372D" w:rsidP="008B1B82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Organi kompetent është i detyruar të shqyrtojë propozimin e Programit dhe të marrë vendim jo më vonë se 60 ditë nga data e dorëzimit të propozimit të Programit.</w:t>
      </w:r>
    </w:p>
    <w:p w14:paraId="0A7B29DC" w14:textId="77777777" w:rsidR="000A372D" w:rsidRPr="00160282" w:rsidRDefault="008F06E4" w:rsidP="008B1B82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Organi</w:t>
      </w:r>
      <w:r w:rsidR="000A372D"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kompetent mund të kërkojë që propozimi i Programit të plotësohet në pajtim me nenin 11 të këtij ligji.</w:t>
      </w:r>
    </w:p>
    <w:p w14:paraId="3201A12F" w14:textId="77777777" w:rsidR="000A372D" w:rsidRPr="00160282" w:rsidRDefault="000A372D" w:rsidP="008B1B82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Nëse organi kompetent nuk merr vendim brenda afatit nga paragrafi 2 i këtij neni, konsiderohet se ka pëlqim për propozimin e programit, ndërsa neni 13 i të njëjtit ligj përcakton se kuvendi komunal mund të miratojë vetëm programin. në kuadër të pëlqimit të 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organit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kompetent.</w:t>
      </w:r>
    </w:p>
    <w:p w14:paraId="03914DC3" w14:textId="77777777" w:rsidR="000A372D" w:rsidRPr="00160282" w:rsidRDefault="000A372D" w:rsidP="008B1B82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Kuvendi i Komunës është i obliguar që Programin t'ia dorëzojë organit kompetent jo më vonë se 15 ditë nga data e miratimit.</w:t>
      </w:r>
    </w:p>
    <w:p w14:paraId="7860E277" w14:textId="77777777" w:rsidR="00320633" w:rsidRPr="00160282" w:rsidRDefault="000A372D" w:rsidP="008B1B82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Neni 53 paragrafi 1 pika 3 e Statutit të Komunës së Tuzit (“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Fl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eta Zyrtare e Malit të Zi – 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dispozitat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komunale”, nr. 024/19, 20/05), përcakton se 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kuvendi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miraton rregullore dhe akte të tjera.</w:t>
      </w:r>
    </w:p>
    <w:p w14:paraId="37DCEB03" w14:textId="77777777" w:rsidR="000A372D" w:rsidRPr="00160282" w:rsidRDefault="000A372D" w:rsidP="008B1B82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  <w:r w:rsidRPr="00160282">
        <w:rPr>
          <w:rFonts w:ascii="Garamond" w:hAnsi="Garamond"/>
          <w:sz w:val="24"/>
          <w:szCs w:val="24"/>
          <w:lang w:val="sq-AL"/>
        </w:rPr>
        <w:t xml:space="preserve">Arsyet e miratimit të Programit për ngritjen e monumenteve në Komunën e Tuzit për vitin 2022 </w:t>
      </w:r>
      <w:r w:rsidR="008F06E4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mbështet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në nevojën për të vepruar sipas kërkesave të parashtruara në këtë </w:t>
      </w:r>
      <w:r w:rsidR="00AE7B98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organ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, si dhe në nevojën për zbatimin e Programit të Punës së Kuvendit të Komunës së Tuzi.</w:t>
      </w:r>
      <w:r w:rsidRPr="00160282">
        <w:rPr>
          <w:rFonts w:ascii="Garamond" w:hAnsi="Garamond"/>
          <w:sz w:val="24"/>
          <w:szCs w:val="24"/>
          <w:lang w:val="sq-AL"/>
        </w:rPr>
        <w:t xml:space="preserve"> </w:t>
      </w:r>
    </w:p>
    <w:p w14:paraId="3130AEA1" w14:textId="77777777" w:rsidR="00C65780" w:rsidRPr="00160282" w:rsidRDefault="000A372D" w:rsidP="008B1B82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Gjegjësisht, me kërkesën nr. 10017 datë 11.10.2022, </w:t>
      </w:r>
      <w:r w:rsidR="00AE7B98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BL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proofErr w:type="spellStart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Traboin</w:t>
      </w:r>
      <w:proofErr w:type="spellEnd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, d.m.th. kryetari i Këshillit të </w:t>
      </w:r>
      <w:r w:rsidR="00AE7B98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BL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-së </w:t>
      </w:r>
      <w:r w:rsidR="00AE7B98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u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drejtua </w:t>
      </w:r>
      <w:r w:rsidR="00AE7B98"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me 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kërkesë për ngritjen e një memoriali </w:t>
      </w:r>
      <w:r w:rsidR="00AE7B98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përmes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vendos</w:t>
      </w:r>
      <w:r w:rsidR="00AE7B98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jes së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një pllakë përkujtimore në përkujtim të luftëtarëve të rënë për liri më 25 mars 1911 në </w:t>
      </w:r>
      <w:r w:rsidR="00AE7B98" w:rsidRPr="00160282">
        <w:rPr>
          <w:rFonts w:ascii="Garamond" w:hAnsi="Garamond"/>
          <w:b w:val="0"/>
          <w:bCs w:val="0"/>
          <w:sz w:val="24"/>
          <w:szCs w:val="24"/>
          <w:lang w:val="sq-AL"/>
        </w:rPr>
        <w:t>vendbanimin</w:t>
      </w:r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e </w:t>
      </w:r>
      <w:proofErr w:type="spellStart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Helmicës</w:t>
      </w:r>
      <w:proofErr w:type="spellEnd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- BL </w:t>
      </w:r>
      <w:proofErr w:type="spellStart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Traboin</w:t>
      </w:r>
      <w:proofErr w:type="spellEnd"/>
      <w:r w:rsidRPr="00160282">
        <w:rPr>
          <w:rFonts w:ascii="Garamond" w:hAnsi="Garamond"/>
          <w:b w:val="0"/>
          <w:bCs w:val="0"/>
          <w:sz w:val="24"/>
          <w:szCs w:val="24"/>
          <w:lang w:val="sq-AL"/>
        </w:rPr>
        <w:t>.</w:t>
      </w:r>
    </w:p>
    <w:p w14:paraId="33A8167A" w14:textId="77777777" w:rsidR="003F1BFC" w:rsidRPr="00160282" w:rsidRDefault="003F1BFC" w:rsidP="008B1B82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527324CE" w14:textId="77777777" w:rsidR="00013C88" w:rsidRPr="00160282" w:rsidRDefault="00013C88" w:rsidP="008B1B82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241A88EF" w14:textId="77777777" w:rsidR="00F83469" w:rsidRPr="00160282" w:rsidRDefault="00F83469" w:rsidP="008B1B82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sectPr w:rsidR="00F83469" w:rsidRPr="00160282">
      <w:headerReference w:type="even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0B2A" w14:textId="77777777" w:rsidR="001A106D" w:rsidRDefault="001A106D">
      <w:r>
        <w:separator/>
      </w:r>
    </w:p>
  </w:endnote>
  <w:endnote w:type="continuationSeparator" w:id="0">
    <w:p w14:paraId="779A5900" w14:textId="77777777" w:rsidR="001A106D" w:rsidRDefault="001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8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235D05" w14:paraId="6C91A2E8" w14:textId="77777777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88C101D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053091E" w14:textId="77777777" w:rsidR="00235D05" w:rsidRDefault="00235D05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235D05" w14:paraId="5F6D9759" w14:textId="77777777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F9B79CD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A9C7626" w14:textId="77777777" w:rsidR="00235D05" w:rsidRDefault="00235D05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CE8D" w14:textId="77777777" w:rsidR="001A106D" w:rsidRDefault="001A106D">
      <w:r>
        <w:separator/>
      </w:r>
    </w:p>
  </w:footnote>
  <w:footnote w:type="continuationSeparator" w:id="0">
    <w:p w14:paraId="1DD350FA" w14:textId="77777777" w:rsidR="001A106D" w:rsidRDefault="001A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A5FD" w14:textId="77777777" w:rsidR="00235D05" w:rsidRDefault="00235D05" w:rsidP="00A54A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C0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2"/>
    <w:rsid w:val="00013C88"/>
    <w:rsid w:val="0002753C"/>
    <w:rsid w:val="000832FD"/>
    <w:rsid w:val="0009071A"/>
    <w:rsid w:val="000A372D"/>
    <w:rsid w:val="000F2B6E"/>
    <w:rsid w:val="000F64E1"/>
    <w:rsid w:val="000F7AF8"/>
    <w:rsid w:val="00102FCA"/>
    <w:rsid w:val="00142A06"/>
    <w:rsid w:val="00160282"/>
    <w:rsid w:val="00166783"/>
    <w:rsid w:val="0018392E"/>
    <w:rsid w:val="001A106D"/>
    <w:rsid w:val="001A2EA9"/>
    <w:rsid w:val="001B0B98"/>
    <w:rsid w:val="001E4DC1"/>
    <w:rsid w:val="00235D05"/>
    <w:rsid w:val="002409E8"/>
    <w:rsid w:val="0027052B"/>
    <w:rsid w:val="00290E77"/>
    <w:rsid w:val="002B380A"/>
    <w:rsid w:val="002B67BF"/>
    <w:rsid w:val="002D6711"/>
    <w:rsid w:val="00320633"/>
    <w:rsid w:val="003433A9"/>
    <w:rsid w:val="003437B9"/>
    <w:rsid w:val="00373A33"/>
    <w:rsid w:val="00384193"/>
    <w:rsid w:val="003F1BFC"/>
    <w:rsid w:val="003F3131"/>
    <w:rsid w:val="004032CA"/>
    <w:rsid w:val="00450268"/>
    <w:rsid w:val="0045233B"/>
    <w:rsid w:val="004620F9"/>
    <w:rsid w:val="00487D8D"/>
    <w:rsid w:val="004B166B"/>
    <w:rsid w:val="004B7949"/>
    <w:rsid w:val="004E582E"/>
    <w:rsid w:val="00515652"/>
    <w:rsid w:val="00527978"/>
    <w:rsid w:val="00532285"/>
    <w:rsid w:val="005625A3"/>
    <w:rsid w:val="005633A2"/>
    <w:rsid w:val="005764C9"/>
    <w:rsid w:val="00584A5D"/>
    <w:rsid w:val="00623E9D"/>
    <w:rsid w:val="006456E0"/>
    <w:rsid w:val="00667EA1"/>
    <w:rsid w:val="006809E4"/>
    <w:rsid w:val="006844B4"/>
    <w:rsid w:val="006B4004"/>
    <w:rsid w:val="0073059B"/>
    <w:rsid w:val="00766087"/>
    <w:rsid w:val="007743FD"/>
    <w:rsid w:val="007970C0"/>
    <w:rsid w:val="007A2171"/>
    <w:rsid w:val="007F5ADE"/>
    <w:rsid w:val="00811952"/>
    <w:rsid w:val="00822D36"/>
    <w:rsid w:val="00827191"/>
    <w:rsid w:val="008B1B82"/>
    <w:rsid w:val="008B38AD"/>
    <w:rsid w:val="008B534C"/>
    <w:rsid w:val="008B7516"/>
    <w:rsid w:val="008C4FA0"/>
    <w:rsid w:val="008D578B"/>
    <w:rsid w:val="008F06E4"/>
    <w:rsid w:val="00917E47"/>
    <w:rsid w:val="00944EC9"/>
    <w:rsid w:val="009A42C2"/>
    <w:rsid w:val="009B50C1"/>
    <w:rsid w:val="009B65E2"/>
    <w:rsid w:val="00A12C06"/>
    <w:rsid w:val="00A30487"/>
    <w:rsid w:val="00A33642"/>
    <w:rsid w:val="00A54A37"/>
    <w:rsid w:val="00A6389B"/>
    <w:rsid w:val="00A931D9"/>
    <w:rsid w:val="00AB6444"/>
    <w:rsid w:val="00AC18D8"/>
    <w:rsid w:val="00AE7B98"/>
    <w:rsid w:val="00AF4A7B"/>
    <w:rsid w:val="00AF79B5"/>
    <w:rsid w:val="00B05057"/>
    <w:rsid w:val="00B24CB0"/>
    <w:rsid w:val="00B25553"/>
    <w:rsid w:val="00B80F6C"/>
    <w:rsid w:val="00B83F84"/>
    <w:rsid w:val="00BC0DC0"/>
    <w:rsid w:val="00BC1330"/>
    <w:rsid w:val="00BD2420"/>
    <w:rsid w:val="00C32412"/>
    <w:rsid w:val="00C471DB"/>
    <w:rsid w:val="00C60F95"/>
    <w:rsid w:val="00C65780"/>
    <w:rsid w:val="00C74372"/>
    <w:rsid w:val="00C75A67"/>
    <w:rsid w:val="00CC0CEE"/>
    <w:rsid w:val="00CE1548"/>
    <w:rsid w:val="00D24922"/>
    <w:rsid w:val="00D3359F"/>
    <w:rsid w:val="00D720A3"/>
    <w:rsid w:val="00D87873"/>
    <w:rsid w:val="00DE7DA6"/>
    <w:rsid w:val="00DF38A1"/>
    <w:rsid w:val="00E9686D"/>
    <w:rsid w:val="00EC0F76"/>
    <w:rsid w:val="00EC18B2"/>
    <w:rsid w:val="00EF40EA"/>
    <w:rsid w:val="00EF69BD"/>
    <w:rsid w:val="00F066F5"/>
    <w:rsid w:val="00F121BE"/>
    <w:rsid w:val="00F83469"/>
    <w:rsid w:val="00FE3D8F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670B2"/>
  <w14:defaultImageDpi w14:val="0"/>
  <w15:docId w15:val="{6332EEE3-1097-4F07-BFFA-2900E52C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8B1B82"/>
    <w:pPr>
      <w:spacing w:after="0" w:line="240" w:lineRule="auto"/>
    </w:pPr>
    <w:rPr>
      <w:rFonts w:eastAsia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8B1B82"/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1087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2022-12-16T11:56:00Z</cp:lastPrinted>
  <dcterms:created xsi:type="dcterms:W3CDTF">2022-12-16T11:52:00Z</dcterms:created>
  <dcterms:modified xsi:type="dcterms:W3CDTF">2022-12-16T12:17:00Z</dcterms:modified>
</cp:coreProperties>
</file>