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00051391"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bookmarkStart w:id="2" w:name="_Hlk184077195"/>
      <w:r w:rsidRPr="003D6B6C">
        <w:rPr>
          <w:rFonts w:ascii="Times New Roman" w:hAnsi="Times New Roman"/>
          <w:sz w:val="22"/>
          <w:szCs w:val="22"/>
        </w:rPr>
        <w:t xml:space="preserve">The language </w:t>
      </w:r>
      <w:r w:rsidRPr="00395470">
        <w:rPr>
          <w:rFonts w:ascii="Times New Roman" w:hAnsi="Times New Roman"/>
          <w:sz w:val="22"/>
          <w:szCs w:val="22"/>
        </w:rPr>
        <w:t xml:space="preserve">used </w:t>
      </w:r>
      <w:r w:rsidR="0086688D" w:rsidRPr="00395470">
        <w:rPr>
          <w:rFonts w:ascii="Times New Roman" w:hAnsi="Times New Roman"/>
          <w:sz w:val="22"/>
          <w:szCs w:val="22"/>
        </w:rPr>
        <w:t xml:space="preserve">shall </w:t>
      </w:r>
      <w:r w:rsidRPr="00395470">
        <w:rPr>
          <w:rFonts w:ascii="Times New Roman" w:hAnsi="Times New Roman"/>
          <w:sz w:val="22"/>
          <w:szCs w:val="22"/>
        </w:rPr>
        <w:t xml:space="preserve">be </w:t>
      </w:r>
      <w:r w:rsidR="008346D2" w:rsidRPr="00395470">
        <w:rPr>
          <w:rFonts w:ascii="Times New Roman" w:hAnsi="Times New Roman"/>
          <w:snapToGrid/>
          <w:sz w:val="22"/>
          <w:szCs w:val="22"/>
        </w:rPr>
        <w:t>English.</w:t>
      </w:r>
      <w:bookmarkEnd w:id="2"/>
    </w:p>
    <w:p w14:paraId="7AC68F6F" w14:textId="77777777" w:rsidR="0047783A" w:rsidRPr="003D6B6C" w:rsidRDefault="0047783A" w:rsidP="008346D2">
      <w:pPr>
        <w:ind w:left="1134" w:hanging="567"/>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2E799F6B" w14:textId="7811EE57" w:rsidR="0047783A" w:rsidRDefault="000724EA" w:rsidP="00395470">
      <w:pPr>
        <w:ind w:left="1134" w:hanging="567"/>
        <w:jc w:val="both"/>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bookmarkStart w:id="4" w:name="_Hlk184077208"/>
      <w:r w:rsidR="00395470" w:rsidRPr="00395470">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6591AF9E" w14:textId="35B6CD50" w:rsidR="00395470" w:rsidRPr="00395470" w:rsidRDefault="007A0F2C" w:rsidP="00395470">
      <w:pPr>
        <w:ind w:left="1134" w:hanging="567"/>
        <w:rPr>
          <w:rFonts w:ascii="Times New Roman" w:hAnsi="Times New Roman"/>
          <w:sz w:val="22"/>
          <w:szCs w:val="22"/>
        </w:rPr>
      </w:pPr>
      <w:r>
        <w:rPr>
          <w:rFonts w:ascii="Times New Roman" w:hAnsi="Times New Roman"/>
          <w:sz w:val="22"/>
          <w:szCs w:val="22"/>
        </w:rPr>
        <w:tab/>
      </w:r>
      <w:r w:rsidR="00395470" w:rsidRPr="00395470">
        <w:rPr>
          <w:rFonts w:ascii="Times New Roman" w:hAnsi="Times New Roman"/>
          <w:sz w:val="22"/>
          <w:szCs w:val="22"/>
          <w:u w:val="single"/>
        </w:rPr>
        <w:t>For the contracting authority</w:t>
      </w:r>
      <w:r w:rsidR="00395470" w:rsidRPr="00395470">
        <w:rPr>
          <w:rFonts w:ascii="Times New Roman" w:hAnsi="Times New Roman"/>
          <w:sz w:val="22"/>
          <w:szCs w:val="22"/>
        </w:rPr>
        <w:t>:</w:t>
      </w:r>
    </w:p>
    <w:tbl>
      <w:tblPr>
        <w:tblW w:w="6060"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4219"/>
      </w:tblGrid>
      <w:tr w:rsidR="00395470" w:rsidRPr="00395470" w14:paraId="5414AB1D"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210B1AB0"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Name:</w:t>
            </w:r>
          </w:p>
        </w:tc>
        <w:tc>
          <w:tcPr>
            <w:tcW w:w="4219" w:type="dxa"/>
            <w:tcBorders>
              <w:top w:val="single" w:sz="4" w:space="0" w:color="auto"/>
              <w:left w:val="single" w:sz="4" w:space="0" w:color="auto"/>
              <w:bottom w:val="single" w:sz="4" w:space="0" w:color="auto"/>
              <w:right w:val="single" w:sz="4" w:space="0" w:color="auto"/>
            </w:tcBorders>
          </w:tcPr>
          <w:p w14:paraId="420BA70E"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20C39CEB"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37F54802"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Address:</w:t>
            </w:r>
          </w:p>
        </w:tc>
        <w:tc>
          <w:tcPr>
            <w:tcW w:w="4219" w:type="dxa"/>
            <w:tcBorders>
              <w:top w:val="single" w:sz="4" w:space="0" w:color="auto"/>
              <w:left w:val="single" w:sz="4" w:space="0" w:color="auto"/>
              <w:bottom w:val="single" w:sz="4" w:space="0" w:color="auto"/>
              <w:right w:val="single" w:sz="4" w:space="0" w:color="auto"/>
            </w:tcBorders>
          </w:tcPr>
          <w:p w14:paraId="57D851B6"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288C1F94"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0B67A922"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Telephone:</w:t>
            </w:r>
          </w:p>
        </w:tc>
        <w:tc>
          <w:tcPr>
            <w:tcW w:w="4219" w:type="dxa"/>
            <w:tcBorders>
              <w:top w:val="single" w:sz="4" w:space="0" w:color="auto"/>
              <w:left w:val="single" w:sz="4" w:space="0" w:color="auto"/>
              <w:bottom w:val="single" w:sz="4" w:space="0" w:color="auto"/>
              <w:right w:val="single" w:sz="4" w:space="0" w:color="auto"/>
            </w:tcBorders>
          </w:tcPr>
          <w:p w14:paraId="22D034F3"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7273C190"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0E053921"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e-mail:</w:t>
            </w:r>
          </w:p>
        </w:tc>
        <w:tc>
          <w:tcPr>
            <w:tcW w:w="4219" w:type="dxa"/>
            <w:tcBorders>
              <w:top w:val="single" w:sz="4" w:space="0" w:color="auto"/>
              <w:left w:val="single" w:sz="4" w:space="0" w:color="auto"/>
              <w:bottom w:val="single" w:sz="4" w:space="0" w:color="auto"/>
              <w:right w:val="single" w:sz="4" w:space="0" w:color="auto"/>
            </w:tcBorders>
          </w:tcPr>
          <w:p w14:paraId="796D5571" w14:textId="77777777" w:rsidR="00395470" w:rsidRPr="00395470" w:rsidRDefault="00395470" w:rsidP="00395470">
            <w:pPr>
              <w:ind w:left="1134" w:hanging="567"/>
              <w:rPr>
                <w:rFonts w:ascii="Times New Roman" w:hAnsi="Times New Roman"/>
                <w:sz w:val="22"/>
                <w:szCs w:val="22"/>
                <w:lang w:val="en-US"/>
              </w:rPr>
            </w:pPr>
          </w:p>
        </w:tc>
      </w:tr>
    </w:tbl>
    <w:p w14:paraId="5DD5B8B5" w14:textId="77777777" w:rsidR="00395470" w:rsidRPr="00395470" w:rsidRDefault="00395470" w:rsidP="00395470">
      <w:pPr>
        <w:ind w:left="1134" w:hanging="567"/>
        <w:rPr>
          <w:rFonts w:ascii="Times New Roman" w:hAnsi="Times New Roman"/>
          <w:sz w:val="22"/>
          <w:szCs w:val="22"/>
        </w:rPr>
      </w:pPr>
      <w:r w:rsidRPr="00395470">
        <w:rPr>
          <w:rFonts w:ascii="Times New Roman" w:hAnsi="Times New Roman"/>
          <w:sz w:val="22"/>
          <w:szCs w:val="22"/>
          <w:u w:val="single"/>
        </w:rPr>
        <w:t>For the contractor</w:t>
      </w:r>
      <w:r w:rsidRPr="00395470">
        <w:rPr>
          <w:rFonts w:ascii="Times New Roman" w:hAnsi="Times New Roman"/>
          <w:sz w:val="22"/>
          <w:szCs w:val="22"/>
        </w:rPr>
        <w:t xml:space="preserve">: </w:t>
      </w:r>
    </w:p>
    <w:tbl>
      <w:tblPr>
        <w:tblW w:w="6060"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4219"/>
      </w:tblGrid>
      <w:tr w:rsidR="00395470" w:rsidRPr="00395470" w14:paraId="48B950AF"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6B1BDA48"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Name:</w:t>
            </w:r>
          </w:p>
        </w:tc>
        <w:tc>
          <w:tcPr>
            <w:tcW w:w="4219" w:type="dxa"/>
            <w:tcBorders>
              <w:top w:val="single" w:sz="4" w:space="0" w:color="auto"/>
              <w:left w:val="single" w:sz="4" w:space="0" w:color="auto"/>
              <w:bottom w:val="single" w:sz="4" w:space="0" w:color="auto"/>
              <w:right w:val="single" w:sz="4" w:space="0" w:color="auto"/>
            </w:tcBorders>
          </w:tcPr>
          <w:p w14:paraId="2691F6E4"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56479046"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08592AD6"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Address:</w:t>
            </w:r>
          </w:p>
        </w:tc>
        <w:tc>
          <w:tcPr>
            <w:tcW w:w="4219" w:type="dxa"/>
            <w:tcBorders>
              <w:top w:val="single" w:sz="4" w:space="0" w:color="auto"/>
              <w:left w:val="single" w:sz="4" w:space="0" w:color="auto"/>
              <w:bottom w:val="single" w:sz="4" w:space="0" w:color="auto"/>
              <w:right w:val="single" w:sz="4" w:space="0" w:color="auto"/>
            </w:tcBorders>
          </w:tcPr>
          <w:p w14:paraId="5FCCFE60"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097B75E1"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1276C0BF"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Telephone:</w:t>
            </w:r>
          </w:p>
        </w:tc>
        <w:tc>
          <w:tcPr>
            <w:tcW w:w="4219" w:type="dxa"/>
            <w:tcBorders>
              <w:top w:val="single" w:sz="4" w:space="0" w:color="auto"/>
              <w:left w:val="single" w:sz="4" w:space="0" w:color="auto"/>
              <w:bottom w:val="single" w:sz="4" w:space="0" w:color="auto"/>
              <w:right w:val="single" w:sz="4" w:space="0" w:color="auto"/>
            </w:tcBorders>
          </w:tcPr>
          <w:p w14:paraId="70CD27C4" w14:textId="77777777" w:rsidR="00395470" w:rsidRPr="00395470" w:rsidRDefault="00395470" w:rsidP="00395470">
            <w:pPr>
              <w:ind w:left="1134" w:hanging="567"/>
              <w:rPr>
                <w:rFonts w:ascii="Times New Roman" w:hAnsi="Times New Roman"/>
                <w:sz w:val="22"/>
                <w:szCs w:val="22"/>
                <w:lang w:val="en-US"/>
              </w:rPr>
            </w:pPr>
          </w:p>
        </w:tc>
      </w:tr>
      <w:tr w:rsidR="00395470" w:rsidRPr="00395470" w14:paraId="4D90A4FD" w14:textId="77777777" w:rsidTr="00395470">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3F05F2B4" w14:textId="77777777" w:rsidR="00395470" w:rsidRPr="00395470" w:rsidRDefault="00395470" w:rsidP="00395470">
            <w:pPr>
              <w:ind w:left="1134" w:hanging="567"/>
              <w:rPr>
                <w:rFonts w:ascii="Times New Roman" w:hAnsi="Times New Roman"/>
                <w:b/>
                <w:sz w:val="22"/>
                <w:szCs w:val="22"/>
                <w:lang w:val="en-US"/>
              </w:rPr>
            </w:pPr>
            <w:r w:rsidRPr="00395470">
              <w:rPr>
                <w:rFonts w:ascii="Times New Roman" w:hAnsi="Times New Roman"/>
                <w:b/>
                <w:sz w:val="22"/>
                <w:szCs w:val="22"/>
                <w:lang w:val="en-US"/>
              </w:rPr>
              <w:t>e-mail:</w:t>
            </w:r>
          </w:p>
        </w:tc>
        <w:tc>
          <w:tcPr>
            <w:tcW w:w="4219" w:type="dxa"/>
            <w:tcBorders>
              <w:top w:val="single" w:sz="4" w:space="0" w:color="auto"/>
              <w:left w:val="single" w:sz="4" w:space="0" w:color="auto"/>
              <w:bottom w:val="single" w:sz="4" w:space="0" w:color="auto"/>
              <w:right w:val="single" w:sz="4" w:space="0" w:color="auto"/>
            </w:tcBorders>
          </w:tcPr>
          <w:p w14:paraId="623CB24A" w14:textId="77777777" w:rsidR="00395470" w:rsidRPr="00395470" w:rsidRDefault="00395470" w:rsidP="00395470">
            <w:pPr>
              <w:ind w:left="1134" w:hanging="567"/>
              <w:rPr>
                <w:rFonts w:ascii="Times New Roman" w:hAnsi="Times New Roman"/>
                <w:sz w:val="22"/>
                <w:szCs w:val="22"/>
                <w:lang w:val="en-US"/>
              </w:rPr>
            </w:pPr>
          </w:p>
        </w:tc>
      </w:tr>
    </w:tbl>
    <w:bookmarkEnd w:id="4"/>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349D47D6" w14:textId="77777777" w:rsidR="00395470" w:rsidRDefault="00395470" w:rsidP="00DC3863">
      <w:pPr>
        <w:spacing w:before="240"/>
        <w:jc w:val="both"/>
        <w:rPr>
          <w:rFonts w:ascii="Times New Roman" w:hAnsi="Times New Roman"/>
          <w:sz w:val="22"/>
          <w:szCs w:val="22"/>
        </w:rPr>
      </w:pP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140D6132" w:rsidR="00324FAA" w:rsidRPr="003D6B6C" w:rsidRDefault="00E0396B" w:rsidP="00395470">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bookmarkStart w:id="5" w:name="_Hlk184077234"/>
      <w:r w:rsidR="00395470" w:rsidRPr="00395470">
        <w:rPr>
          <w:rFonts w:ascii="Times New Roman" w:hAnsi="Times New Roman"/>
          <w:sz w:val="22"/>
          <w:szCs w:val="22"/>
        </w:rPr>
        <w:t xml:space="preserve">The Contractor shall take the necessary measures to ensure the visibility of the European Union co financing. These activities must comply with the rules lay down in the Interreg brand design manual published on the  website </w:t>
      </w:r>
      <w:hyperlink r:id="rId8" w:history="1">
        <w:r w:rsidR="00395470" w:rsidRPr="00D70025">
          <w:rPr>
            <w:rStyle w:val="Hyperlink"/>
            <w:rFonts w:ascii="Times New Roman" w:hAnsi="Times New Roman"/>
            <w:sz w:val="22"/>
            <w:szCs w:val="22"/>
          </w:rPr>
          <w:t>https://interreg-hr-ba-me.eu/documents/implementation/</w:t>
        </w:r>
      </w:hyperlink>
      <w:r w:rsidR="00395470">
        <w:rPr>
          <w:rFonts w:ascii="Times New Roman" w:hAnsi="Times New Roman"/>
          <w:sz w:val="22"/>
          <w:szCs w:val="22"/>
        </w:rPr>
        <w:t xml:space="preserve"> </w:t>
      </w:r>
      <w:r w:rsidR="00324FAA">
        <w:rPr>
          <w:rFonts w:ascii="Times New Roman" w:hAnsi="Times New Roman"/>
          <w:sz w:val="22"/>
          <w:szCs w:val="22"/>
        </w:rPr>
        <w:tab/>
      </w:r>
      <w:bookmarkEnd w:id="5"/>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6686A77E" w14:textId="007CB747" w:rsidR="0047783A" w:rsidRPr="003D6B6C" w:rsidRDefault="00F355C1" w:rsidP="00F017DE">
      <w:pPr>
        <w:ind w:left="1134" w:hanging="709"/>
        <w:jc w:val="both"/>
        <w:rPr>
          <w:rFonts w:ascii="Times New Roman" w:hAnsi="Times New Roman"/>
          <w:sz w:val="22"/>
          <w:szCs w:val="22"/>
        </w:rPr>
      </w:pPr>
      <w:r w:rsidRPr="00395470">
        <w:rPr>
          <w:rFonts w:ascii="Times New Roman" w:hAnsi="Times New Roman"/>
          <w:sz w:val="22"/>
          <w:szCs w:val="22"/>
        </w:rPr>
        <w:t>11.1</w:t>
      </w:r>
      <w:r w:rsidRPr="00395470">
        <w:rPr>
          <w:rFonts w:ascii="Times New Roman" w:hAnsi="Times New Roman"/>
          <w:sz w:val="22"/>
          <w:szCs w:val="22"/>
        </w:rPr>
        <w:tab/>
      </w:r>
      <w:r w:rsidR="0047783A" w:rsidRPr="00395470">
        <w:rPr>
          <w:rFonts w:ascii="Times New Roman" w:hAnsi="Times New Roman"/>
          <w:sz w:val="22"/>
          <w:szCs w:val="22"/>
        </w:rPr>
        <w:t xml:space="preserve">The amount of the performance guarantee </w:t>
      </w:r>
      <w:r w:rsidR="005B0129" w:rsidRPr="00395470">
        <w:rPr>
          <w:rFonts w:ascii="Times New Roman" w:hAnsi="Times New Roman"/>
          <w:sz w:val="22"/>
          <w:szCs w:val="22"/>
        </w:rPr>
        <w:t xml:space="preserve">shall </w:t>
      </w:r>
      <w:r w:rsidR="0047783A" w:rsidRPr="00395470">
        <w:rPr>
          <w:rFonts w:ascii="Times New Roman" w:hAnsi="Times New Roman"/>
          <w:sz w:val="22"/>
          <w:szCs w:val="22"/>
        </w:rPr>
        <w:t xml:space="preserve">be </w:t>
      </w:r>
      <w:r w:rsidR="00E673B8">
        <w:rPr>
          <w:rFonts w:ascii="Times New Roman" w:hAnsi="Times New Roman"/>
          <w:sz w:val="22"/>
          <w:szCs w:val="22"/>
        </w:rPr>
        <w:t>10</w:t>
      </w:r>
      <w:r w:rsidR="0047783A" w:rsidRPr="00395470">
        <w:rPr>
          <w:rFonts w:ascii="Times New Roman" w:hAnsi="Times New Roman"/>
          <w:sz w:val="22"/>
          <w:szCs w:val="22"/>
        </w:rPr>
        <w:t xml:space="preserve"> </w:t>
      </w:r>
      <w:r w:rsidR="00D662AA" w:rsidRPr="00395470">
        <w:rPr>
          <w:rFonts w:ascii="Times New Roman" w:hAnsi="Times New Roman"/>
          <w:sz w:val="22"/>
          <w:szCs w:val="22"/>
        </w:rPr>
        <w:t xml:space="preserve">% </w:t>
      </w:r>
      <w:r w:rsidR="0047783A" w:rsidRPr="00395470">
        <w:rPr>
          <w:rFonts w:ascii="Times New Roman" w:hAnsi="Times New Roman"/>
          <w:sz w:val="22"/>
          <w:szCs w:val="22"/>
        </w:rPr>
        <w:t xml:space="preserve">of the </w:t>
      </w:r>
      <w:r w:rsidR="001E2362" w:rsidRPr="00395470">
        <w:rPr>
          <w:rFonts w:ascii="Times New Roman" w:hAnsi="Times New Roman"/>
          <w:sz w:val="22"/>
          <w:szCs w:val="22"/>
        </w:rPr>
        <w:t xml:space="preserve">total </w:t>
      </w:r>
      <w:r w:rsidR="0097513D" w:rsidRPr="00395470">
        <w:rPr>
          <w:rFonts w:ascii="Times New Roman" w:hAnsi="Times New Roman"/>
          <w:sz w:val="22"/>
          <w:szCs w:val="22"/>
        </w:rPr>
        <w:t>Contract</w:t>
      </w:r>
      <w:r w:rsidR="0047783A" w:rsidRPr="00395470">
        <w:rPr>
          <w:rFonts w:ascii="Times New Roman" w:hAnsi="Times New Roman"/>
          <w:sz w:val="22"/>
          <w:szCs w:val="22"/>
        </w:rPr>
        <w:t xml:space="preserve"> </w:t>
      </w:r>
      <w:r w:rsidR="001E2362" w:rsidRPr="00395470">
        <w:rPr>
          <w:rFonts w:ascii="Times New Roman" w:hAnsi="Times New Roman"/>
          <w:sz w:val="22"/>
          <w:szCs w:val="22"/>
        </w:rPr>
        <w:t>price</w:t>
      </w:r>
      <w:r w:rsidR="00637C8F" w:rsidRPr="00395470">
        <w:rPr>
          <w:rFonts w:ascii="Times New Roman" w:hAnsi="Times New Roman"/>
          <w:sz w:val="22"/>
          <w:szCs w:val="22"/>
        </w:rPr>
        <w:t>,</w:t>
      </w:r>
      <w:r w:rsidR="0047783A" w:rsidRPr="00395470">
        <w:rPr>
          <w:rFonts w:ascii="Times New Roman" w:hAnsi="Times New Roman"/>
          <w:sz w:val="22"/>
          <w:szCs w:val="22"/>
        </w:rPr>
        <w:t xml:space="preserve"> </w:t>
      </w:r>
      <w:r w:rsidR="00637C8F" w:rsidRPr="00395470">
        <w:rPr>
          <w:rFonts w:ascii="Times New Roman" w:hAnsi="Times New Roman"/>
          <w:sz w:val="22"/>
          <w:szCs w:val="22"/>
        </w:rPr>
        <w:t xml:space="preserve">including any amounts stipulated in addenda to the </w:t>
      </w:r>
      <w:r w:rsidR="005921FA" w:rsidRPr="00395470">
        <w:rPr>
          <w:rFonts w:ascii="Times New Roman" w:hAnsi="Times New Roman"/>
          <w:sz w:val="22"/>
          <w:szCs w:val="22"/>
        </w:rPr>
        <w:t>C</w:t>
      </w:r>
      <w:r w:rsidR="00637C8F" w:rsidRPr="00395470">
        <w:rPr>
          <w:rFonts w:ascii="Times New Roman" w:hAnsi="Times New Roman"/>
          <w:sz w:val="22"/>
          <w:szCs w:val="22"/>
        </w:rPr>
        <w:t>ontract</w:t>
      </w:r>
      <w:r w:rsidR="0047783A" w:rsidRPr="00395470">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8"/>
    </w:p>
    <w:p w14:paraId="6711F6D5" w14:textId="7BBE2DFC" w:rsidR="00FF361A" w:rsidRPr="003D6B6C" w:rsidRDefault="00FF361A" w:rsidP="00395470">
      <w:pPr>
        <w:spacing w:before="240"/>
        <w:ind w:left="450" w:hanging="684"/>
        <w:jc w:val="both"/>
        <w:rPr>
          <w:rFonts w:ascii="Times New Roman" w:hAnsi="Times New Roman"/>
          <w:sz w:val="22"/>
          <w:szCs w:val="22"/>
        </w:rPr>
      </w:pPr>
      <w:r>
        <w:rPr>
          <w:rFonts w:ascii="Times New Roman" w:hAnsi="Times New Roman"/>
          <w:b/>
          <w:sz w:val="24"/>
          <w:szCs w:val="24"/>
        </w:rPr>
        <w:tab/>
      </w:r>
      <w:bookmarkStart w:id="9" w:name="_Hlk184077279"/>
      <w:r w:rsidR="004D33C9" w:rsidRPr="003D6B6C">
        <w:rPr>
          <w:rFonts w:ascii="Times New Roman" w:hAnsi="Times New Roman"/>
          <w:sz w:val="22"/>
          <w:szCs w:val="22"/>
        </w:rPr>
        <w:t>12.1a)</w:t>
      </w:r>
      <w:r w:rsidR="003D6B6C">
        <w:rPr>
          <w:rFonts w:ascii="Times New Roman" w:hAnsi="Times New Roman"/>
          <w:sz w:val="22"/>
          <w:szCs w:val="22"/>
        </w:rPr>
        <w:tab/>
      </w:r>
      <w:r w:rsidRPr="00395470">
        <w:rPr>
          <w:rFonts w:ascii="Times New Roman" w:hAnsi="Times New Roman"/>
          <w:sz w:val="22"/>
          <w:szCs w:val="22"/>
        </w:rPr>
        <w:t>No liability / insurance measures are required.</w:t>
      </w:r>
    </w:p>
    <w:p w14:paraId="0F62A023" w14:textId="6CCD98A3" w:rsidR="00FF361A" w:rsidRPr="00395470" w:rsidRDefault="004D33C9" w:rsidP="00395470">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sidRPr="00395470">
        <w:rPr>
          <w:rFonts w:ascii="Times New Roman" w:hAnsi="Times New Roman"/>
          <w:sz w:val="22"/>
          <w:szCs w:val="22"/>
        </w:rPr>
        <w:t>1</w:t>
      </w:r>
      <w:r w:rsidRPr="00395470">
        <w:rPr>
          <w:rFonts w:ascii="Times New Roman" w:hAnsi="Times New Roman"/>
          <w:sz w:val="22"/>
          <w:szCs w:val="22"/>
        </w:rPr>
        <w:t>b)</w:t>
      </w:r>
      <w:r w:rsidR="003D6B6C" w:rsidRPr="00395470">
        <w:rPr>
          <w:rFonts w:ascii="Times New Roman" w:hAnsi="Times New Roman"/>
          <w:sz w:val="22"/>
          <w:szCs w:val="22"/>
        </w:rPr>
        <w:tab/>
      </w:r>
      <w:r w:rsidR="00FF361A" w:rsidRPr="00395470">
        <w:rPr>
          <w:rFonts w:ascii="Times New Roman" w:hAnsi="Times New Roman"/>
          <w:sz w:val="22"/>
          <w:szCs w:val="22"/>
        </w:rPr>
        <w:t>No liability / insurance measures are required.</w:t>
      </w:r>
    </w:p>
    <w:p w14:paraId="55A626B8" w14:textId="77777777" w:rsidR="00FF361A" w:rsidRPr="00395470" w:rsidRDefault="00FF361A" w:rsidP="00FF361A">
      <w:pPr>
        <w:tabs>
          <w:tab w:val="left" w:pos="1134"/>
        </w:tabs>
        <w:spacing w:before="240"/>
        <w:ind w:left="426"/>
        <w:jc w:val="both"/>
        <w:rPr>
          <w:rFonts w:ascii="Times New Roman" w:hAnsi="Times New Roman"/>
          <w:sz w:val="22"/>
          <w:szCs w:val="22"/>
        </w:rPr>
      </w:pPr>
      <w:r w:rsidRPr="00395470">
        <w:rPr>
          <w:rFonts w:ascii="Times New Roman" w:hAnsi="Times New Roman"/>
          <w:sz w:val="22"/>
          <w:szCs w:val="22"/>
        </w:rPr>
        <w:t xml:space="preserve">12.2. Insurance </w:t>
      </w:r>
    </w:p>
    <w:p w14:paraId="62285009" w14:textId="77777777" w:rsidR="00FF361A" w:rsidRPr="00FF361A" w:rsidRDefault="00FF361A" w:rsidP="00FF361A">
      <w:pPr>
        <w:tabs>
          <w:tab w:val="left" w:pos="1134"/>
        </w:tabs>
        <w:spacing w:before="240"/>
        <w:ind w:left="426"/>
        <w:jc w:val="both"/>
        <w:rPr>
          <w:rFonts w:ascii="Times New Roman" w:hAnsi="Times New Roman"/>
          <w:sz w:val="22"/>
          <w:szCs w:val="22"/>
        </w:rPr>
      </w:pPr>
      <w:r w:rsidRPr="0039547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3"/>
      <w:bookmarkEnd w:id="9"/>
      <w:r w:rsidRPr="003D6B6C">
        <w:rPr>
          <w:rFonts w:ascii="Times New Roman" w:hAnsi="Times New Roman"/>
          <w:b/>
          <w:sz w:val="24"/>
          <w:szCs w:val="24"/>
        </w:rPr>
        <w:t>Article 13</w:t>
      </w:r>
      <w:r w:rsidRPr="003D6B6C">
        <w:rPr>
          <w:rFonts w:ascii="Times New Roman" w:hAnsi="Times New Roman"/>
          <w:b/>
          <w:sz w:val="24"/>
          <w:szCs w:val="24"/>
        </w:rPr>
        <w:tab/>
      </w:r>
      <w:bookmarkEnd w:id="10"/>
      <w:r w:rsidR="0086688D" w:rsidRPr="003D6B6C">
        <w:rPr>
          <w:rFonts w:ascii="Times New Roman" w:hAnsi="Times New Roman"/>
          <w:b/>
          <w:sz w:val="24"/>
          <w:szCs w:val="24"/>
        </w:rPr>
        <w:t>Programme of implementation of tasks</w:t>
      </w:r>
    </w:p>
    <w:p w14:paraId="67638A25" w14:textId="77777777" w:rsidR="00395470" w:rsidRDefault="00AC1107" w:rsidP="00395470">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1" w:name="_Hlk184077319"/>
      <w:r w:rsidR="00395470" w:rsidRPr="006D4BAE">
        <w:rPr>
          <w:rFonts w:ascii="Times New Roman" w:hAnsi="Times New Roman"/>
          <w:sz w:val="22"/>
          <w:szCs w:val="22"/>
        </w:rPr>
        <w:t>Timetable for submission and approval of the programme of implementation of the tasks, with dates and deadlines:</w:t>
      </w:r>
    </w:p>
    <w:tbl>
      <w:tblPr>
        <w:tblStyle w:val="TableGrid"/>
        <w:tblW w:w="0" w:type="auto"/>
        <w:tblInd w:w="1134" w:type="dxa"/>
        <w:tblLook w:val="04A0" w:firstRow="1" w:lastRow="0" w:firstColumn="1" w:lastColumn="0" w:noHBand="0" w:noVBand="1"/>
      </w:tblPr>
      <w:tblGrid>
        <w:gridCol w:w="3638"/>
        <w:gridCol w:w="3438"/>
      </w:tblGrid>
      <w:tr w:rsidR="00395470" w14:paraId="660A03C0" w14:textId="77777777" w:rsidTr="006F0764">
        <w:tc>
          <w:tcPr>
            <w:tcW w:w="4105" w:type="dxa"/>
            <w:shd w:val="clear" w:color="auto" w:fill="D9D9D9" w:themeFill="background1" w:themeFillShade="D9"/>
          </w:tcPr>
          <w:p w14:paraId="70B79DC2" w14:textId="77777777" w:rsidR="00395470" w:rsidRDefault="00395470" w:rsidP="006F0764">
            <w:pPr>
              <w:jc w:val="both"/>
              <w:rPr>
                <w:rFonts w:ascii="Times New Roman" w:hAnsi="Times New Roman"/>
                <w:sz w:val="22"/>
                <w:szCs w:val="22"/>
              </w:rPr>
            </w:pPr>
            <w:r>
              <w:rPr>
                <w:rFonts w:ascii="Times New Roman" w:hAnsi="Times New Roman"/>
                <w:sz w:val="22"/>
                <w:szCs w:val="22"/>
              </w:rPr>
              <w:t>Action</w:t>
            </w:r>
          </w:p>
        </w:tc>
        <w:tc>
          <w:tcPr>
            <w:tcW w:w="4105" w:type="dxa"/>
            <w:shd w:val="clear" w:color="auto" w:fill="D9D9D9" w:themeFill="background1" w:themeFillShade="D9"/>
          </w:tcPr>
          <w:p w14:paraId="4F2C0008" w14:textId="77777777" w:rsidR="00395470" w:rsidRDefault="00395470" w:rsidP="006F0764">
            <w:pPr>
              <w:jc w:val="both"/>
              <w:rPr>
                <w:rFonts w:ascii="Times New Roman" w:hAnsi="Times New Roman"/>
                <w:sz w:val="22"/>
                <w:szCs w:val="22"/>
              </w:rPr>
            </w:pPr>
            <w:r>
              <w:rPr>
                <w:rFonts w:ascii="Times New Roman" w:hAnsi="Times New Roman"/>
                <w:sz w:val="22"/>
                <w:szCs w:val="22"/>
              </w:rPr>
              <w:t>Deadline</w:t>
            </w:r>
          </w:p>
        </w:tc>
      </w:tr>
      <w:tr w:rsidR="00395470" w14:paraId="17FC1B00" w14:textId="77777777" w:rsidTr="006F0764">
        <w:tc>
          <w:tcPr>
            <w:tcW w:w="4105" w:type="dxa"/>
          </w:tcPr>
          <w:p w14:paraId="293EDC94" w14:textId="114A0E03" w:rsidR="00395470" w:rsidRDefault="00395470" w:rsidP="006F0764">
            <w:pPr>
              <w:jc w:val="both"/>
              <w:rPr>
                <w:rFonts w:ascii="Times New Roman" w:hAnsi="Times New Roman"/>
                <w:sz w:val="22"/>
                <w:szCs w:val="22"/>
              </w:rPr>
            </w:pPr>
            <w:r>
              <w:rPr>
                <w:rFonts w:ascii="Times New Roman" w:hAnsi="Times New Roman"/>
                <w:sz w:val="22"/>
                <w:szCs w:val="22"/>
              </w:rPr>
              <w:t>S</w:t>
            </w:r>
            <w:r w:rsidRPr="00395470">
              <w:rPr>
                <w:rFonts w:ascii="Times New Roman" w:hAnsi="Times New Roman"/>
                <w:sz w:val="22"/>
                <w:szCs w:val="22"/>
              </w:rPr>
              <w:t>upply, delivery, unloading (where applicable), installation (where applicable), commissioning</w:t>
            </w:r>
          </w:p>
        </w:tc>
        <w:tc>
          <w:tcPr>
            <w:tcW w:w="4105" w:type="dxa"/>
          </w:tcPr>
          <w:p w14:paraId="6BA0EEF5" w14:textId="71FB7DB9" w:rsidR="00395470" w:rsidRDefault="00E673B8" w:rsidP="006F0764">
            <w:pPr>
              <w:jc w:val="both"/>
              <w:rPr>
                <w:rFonts w:ascii="Times New Roman" w:hAnsi="Times New Roman"/>
                <w:sz w:val="22"/>
                <w:szCs w:val="22"/>
              </w:rPr>
            </w:pPr>
            <w:r>
              <w:rPr>
                <w:rFonts w:ascii="Times New Roman" w:hAnsi="Times New Roman"/>
                <w:sz w:val="22"/>
                <w:szCs w:val="22"/>
              </w:rPr>
              <w:t xml:space="preserve">335 </w:t>
            </w:r>
            <w:r w:rsidR="00395470" w:rsidRPr="008B4785">
              <w:rPr>
                <w:rFonts w:ascii="Times New Roman" w:hAnsi="Times New Roman"/>
                <w:sz w:val="22"/>
                <w:szCs w:val="22"/>
              </w:rPr>
              <w:t xml:space="preserve">calendar days </w:t>
            </w:r>
            <w:r w:rsidR="00395470" w:rsidRPr="008B4785">
              <w:rPr>
                <w:rFonts w:ascii="Times New Roman" w:hAnsi="Times New Roman"/>
                <w:sz w:val="22"/>
              </w:rPr>
              <w:t>from the contract signature date</w:t>
            </w:r>
          </w:p>
        </w:tc>
      </w:tr>
      <w:tr w:rsidR="00395470" w14:paraId="6EAA645C" w14:textId="77777777" w:rsidTr="006F0764">
        <w:tc>
          <w:tcPr>
            <w:tcW w:w="4105" w:type="dxa"/>
          </w:tcPr>
          <w:p w14:paraId="3DA49B5A" w14:textId="77777777" w:rsidR="00395470" w:rsidRDefault="00395470" w:rsidP="006F0764">
            <w:pPr>
              <w:jc w:val="both"/>
              <w:rPr>
                <w:rFonts w:ascii="Times New Roman" w:hAnsi="Times New Roman"/>
                <w:sz w:val="22"/>
                <w:szCs w:val="22"/>
              </w:rPr>
            </w:pPr>
            <w:r>
              <w:rPr>
                <w:rFonts w:ascii="Times New Roman" w:hAnsi="Times New Roman"/>
                <w:sz w:val="22"/>
                <w:szCs w:val="22"/>
              </w:rPr>
              <w:t xml:space="preserve">Issuance of the </w:t>
            </w:r>
            <w:r w:rsidRPr="006D4BAE">
              <w:rPr>
                <w:rFonts w:ascii="Times New Roman" w:hAnsi="Times New Roman"/>
                <w:sz w:val="22"/>
                <w:szCs w:val="22"/>
              </w:rPr>
              <w:t xml:space="preserve">Provisional Acceptance </w:t>
            </w:r>
            <w:r>
              <w:rPr>
                <w:rFonts w:ascii="Times New Roman" w:hAnsi="Times New Roman"/>
                <w:sz w:val="22"/>
                <w:szCs w:val="22"/>
              </w:rPr>
              <w:t xml:space="preserve">Certificate by </w:t>
            </w:r>
            <w:r w:rsidRPr="006D4BAE">
              <w:rPr>
                <w:rFonts w:ascii="Times New Roman" w:hAnsi="Times New Roman"/>
                <w:sz w:val="22"/>
                <w:szCs w:val="22"/>
              </w:rPr>
              <w:t xml:space="preserve">Contracting Authority </w:t>
            </w:r>
          </w:p>
        </w:tc>
        <w:tc>
          <w:tcPr>
            <w:tcW w:w="4105" w:type="dxa"/>
          </w:tcPr>
          <w:p w14:paraId="6EE8A90E" w14:textId="77777777" w:rsidR="00395470" w:rsidRDefault="00395470" w:rsidP="006F0764">
            <w:pPr>
              <w:jc w:val="both"/>
              <w:rPr>
                <w:rFonts w:ascii="Times New Roman" w:hAnsi="Times New Roman"/>
                <w:sz w:val="22"/>
                <w:szCs w:val="22"/>
              </w:rPr>
            </w:pPr>
            <w:r>
              <w:rPr>
                <w:rFonts w:ascii="Times New Roman" w:hAnsi="Times New Roman"/>
                <w:sz w:val="22"/>
                <w:szCs w:val="22"/>
              </w:rPr>
              <w:t>30</w:t>
            </w:r>
            <w:r w:rsidRPr="006D4BAE">
              <w:rPr>
                <w:rFonts w:ascii="Times New Roman" w:hAnsi="Times New Roman"/>
                <w:sz w:val="22"/>
                <w:szCs w:val="22"/>
              </w:rPr>
              <w:t xml:space="preserve"> calendar days from the </w:t>
            </w:r>
            <w:r>
              <w:rPr>
                <w:rFonts w:ascii="Times New Roman" w:hAnsi="Times New Roman"/>
                <w:sz w:val="22"/>
                <w:szCs w:val="22"/>
              </w:rPr>
              <w:t xml:space="preserve">notification of successfully implemented tasks issued by the Contractor </w:t>
            </w:r>
          </w:p>
        </w:tc>
      </w:tr>
      <w:tr w:rsidR="00DB2495" w14:paraId="2CFBD6F7" w14:textId="77777777" w:rsidTr="006F0764">
        <w:tc>
          <w:tcPr>
            <w:tcW w:w="4105" w:type="dxa"/>
          </w:tcPr>
          <w:p w14:paraId="0E18CD2E" w14:textId="6BF22F02" w:rsidR="00DB2495" w:rsidRDefault="00DB2495" w:rsidP="006F0764">
            <w:pPr>
              <w:jc w:val="both"/>
              <w:rPr>
                <w:rFonts w:ascii="Times New Roman" w:hAnsi="Times New Roman"/>
                <w:sz w:val="22"/>
                <w:szCs w:val="22"/>
              </w:rPr>
            </w:pPr>
            <w:r>
              <w:rPr>
                <w:rFonts w:ascii="Times New Roman" w:hAnsi="Times New Roman"/>
                <w:sz w:val="22"/>
                <w:szCs w:val="22"/>
              </w:rPr>
              <w:t>TOTAL IMPLEMENTATION PERIOD</w:t>
            </w:r>
          </w:p>
        </w:tc>
        <w:tc>
          <w:tcPr>
            <w:tcW w:w="4105" w:type="dxa"/>
          </w:tcPr>
          <w:p w14:paraId="68840D37" w14:textId="78D1FD4B" w:rsidR="00DB2495" w:rsidRDefault="00DB2495" w:rsidP="006F0764">
            <w:pPr>
              <w:jc w:val="both"/>
              <w:rPr>
                <w:rFonts w:ascii="Times New Roman" w:hAnsi="Times New Roman"/>
                <w:sz w:val="22"/>
                <w:szCs w:val="22"/>
              </w:rPr>
            </w:pPr>
            <w:r>
              <w:rPr>
                <w:rFonts w:ascii="Times New Roman" w:hAnsi="Times New Roman"/>
                <w:sz w:val="22"/>
                <w:szCs w:val="22"/>
              </w:rPr>
              <w:t xml:space="preserve">365 </w:t>
            </w:r>
            <w:r w:rsidR="00DF6B80">
              <w:rPr>
                <w:rFonts w:ascii="Times New Roman" w:hAnsi="Times New Roman"/>
                <w:sz w:val="22"/>
                <w:szCs w:val="22"/>
              </w:rPr>
              <w:t xml:space="preserve">calendar </w:t>
            </w:r>
            <w:r>
              <w:rPr>
                <w:rFonts w:ascii="Times New Roman" w:hAnsi="Times New Roman"/>
                <w:sz w:val="22"/>
                <w:szCs w:val="22"/>
              </w:rPr>
              <w:t>days</w:t>
            </w:r>
          </w:p>
        </w:tc>
      </w:tr>
    </w:tbl>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bookmarkEnd w:id="11"/>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6CBB9569"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18.1</w:t>
      </w:r>
      <w:r w:rsidRPr="003D6B6C">
        <w:rPr>
          <w:rFonts w:ascii="Times New Roman" w:hAnsi="Times New Roman"/>
          <w:b/>
          <w:sz w:val="22"/>
          <w:szCs w:val="22"/>
        </w:rPr>
        <w:tab/>
      </w:r>
      <w:bookmarkStart w:id="13" w:name="_Hlk184077350"/>
      <w:r w:rsidR="00395470" w:rsidRPr="00395470">
        <w:rPr>
          <w:rFonts w:ascii="Times New Roman" w:hAnsi="Times New Roman"/>
          <w:bCs/>
          <w:sz w:val="22"/>
          <w:szCs w:val="22"/>
        </w:rPr>
        <w:t>The implementation of the tasks is to commence on the date of signature of both contract parties.</w:t>
      </w:r>
      <w:bookmarkEnd w:id="13"/>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793DFEC" w14:textId="3BEA7511"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5" w:name="_Hlk184077367"/>
      <w:r w:rsidR="00395470">
        <w:rPr>
          <w:rFonts w:ascii="Times New Roman" w:hAnsi="Times New Roman"/>
          <w:sz w:val="22"/>
          <w:szCs w:val="22"/>
        </w:rPr>
        <w:t>Th</w:t>
      </w:r>
      <w:r w:rsidR="00395470" w:rsidRPr="00395470">
        <w:rPr>
          <w:rFonts w:ascii="Times New Roman" w:hAnsi="Times New Roman"/>
          <w:sz w:val="22"/>
          <w:szCs w:val="22"/>
        </w:rPr>
        <w:t xml:space="preserve">e period of implementation of tasks starting from the contract signature date </w:t>
      </w:r>
      <w:r w:rsidR="00395470">
        <w:rPr>
          <w:rFonts w:ascii="Times New Roman" w:hAnsi="Times New Roman"/>
          <w:sz w:val="22"/>
          <w:szCs w:val="22"/>
        </w:rPr>
        <w:t xml:space="preserve">by the last party </w:t>
      </w:r>
      <w:r w:rsidR="00395470" w:rsidRPr="00395470">
        <w:rPr>
          <w:rFonts w:ascii="Times New Roman" w:hAnsi="Times New Roman"/>
          <w:sz w:val="22"/>
          <w:szCs w:val="22"/>
        </w:rPr>
        <w:t xml:space="preserve">until the date of issuance of the Provisional Acceptance Certificate shall be </w:t>
      </w:r>
      <w:r w:rsidR="005D0142">
        <w:rPr>
          <w:rFonts w:ascii="Times New Roman" w:hAnsi="Times New Roman"/>
          <w:sz w:val="22"/>
          <w:szCs w:val="22"/>
        </w:rPr>
        <w:t>3</w:t>
      </w:r>
      <w:r w:rsidR="003A3F6F">
        <w:rPr>
          <w:rFonts w:ascii="Times New Roman" w:hAnsi="Times New Roman"/>
          <w:sz w:val="22"/>
          <w:szCs w:val="22"/>
        </w:rPr>
        <w:t>6</w:t>
      </w:r>
      <w:r w:rsidR="005D0142">
        <w:rPr>
          <w:rFonts w:ascii="Times New Roman" w:hAnsi="Times New Roman"/>
          <w:sz w:val="22"/>
          <w:szCs w:val="22"/>
        </w:rPr>
        <w:t>5</w:t>
      </w:r>
      <w:r w:rsidR="005D0142" w:rsidRPr="00395470">
        <w:rPr>
          <w:rFonts w:ascii="Times New Roman" w:hAnsi="Times New Roman"/>
          <w:sz w:val="22"/>
          <w:szCs w:val="22"/>
        </w:rPr>
        <w:t xml:space="preserve"> </w:t>
      </w:r>
      <w:r w:rsidR="00395470" w:rsidRPr="00395470">
        <w:rPr>
          <w:rFonts w:ascii="Times New Roman" w:hAnsi="Times New Roman"/>
          <w:sz w:val="22"/>
          <w:szCs w:val="22"/>
        </w:rPr>
        <w:t>calendar days.</w:t>
      </w:r>
      <w:bookmarkEnd w:id="15"/>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3759BE5C" w14:textId="75493C3A" w:rsidR="00C33986" w:rsidRPr="00C33986" w:rsidRDefault="005B0129" w:rsidP="00C33986">
      <w:pPr>
        <w:ind w:left="1134" w:hanging="709"/>
        <w:jc w:val="both"/>
        <w:rPr>
          <w:rFonts w:ascii="Times New Roman" w:hAnsi="Times New Roman"/>
          <w:sz w:val="22"/>
          <w:szCs w:val="22"/>
          <w:highlight w:val="yellow"/>
        </w:rPr>
      </w:pPr>
      <w:r w:rsidRPr="003D6B6C">
        <w:rPr>
          <w:rFonts w:ascii="Times New Roman" w:hAnsi="Times New Roman"/>
          <w:bCs/>
          <w:sz w:val="22"/>
          <w:szCs w:val="22"/>
        </w:rPr>
        <w:t>25.2</w:t>
      </w:r>
      <w:r w:rsidRPr="003D6B6C">
        <w:rPr>
          <w:rFonts w:ascii="Times New Roman" w:hAnsi="Times New Roman"/>
          <w:bCs/>
          <w:sz w:val="22"/>
          <w:szCs w:val="22"/>
        </w:rPr>
        <w:tab/>
      </w:r>
      <w:bookmarkStart w:id="17" w:name="_Hlk184077392"/>
      <w:r w:rsidR="00395470" w:rsidRPr="00395470">
        <w:rPr>
          <w:rFonts w:ascii="Times New Roman" w:hAnsi="Times New Roman"/>
          <w:sz w:val="22"/>
          <w:szCs w:val="22"/>
        </w:rPr>
        <w:t xml:space="preserve">The inspection and testing prior to the provisional acceptance will take place at the locations where the equipment is delivered, installed and put into operation. The inspection and testing of all equipment will start and be completed within a </w:t>
      </w:r>
      <w:r w:rsidR="00E673B8">
        <w:rPr>
          <w:rFonts w:ascii="Times New Roman" w:hAnsi="Times New Roman"/>
          <w:sz w:val="22"/>
          <w:szCs w:val="22"/>
        </w:rPr>
        <w:t>delivery period</w:t>
      </w:r>
      <w:r w:rsidR="00395470" w:rsidRPr="00395470">
        <w:rPr>
          <w:rFonts w:ascii="Times New Roman" w:hAnsi="Times New Roman"/>
          <w:sz w:val="22"/>
          <w:szCs w:val="22"/>
        </w:rPr>
        <w:t>. During the testing period the contracting authority will inform the Contractor about the possible problems related to devices. The Contactor has obligation to respond to those requirements and to help to resolve the problem. In case of the malfunctioning of the supplied goods the Contractor must resolve the situation within 15 calendar days either by repair of the good or by replacement of the good supplied.</w:t>
      </w:r>
      <w:r w:rsidR="00395470" w:rsidRPr="00395470">
        <w:rPr>
          <w:rFonts w:ascii="Times New Roman" w:hAnsi="Times New Roman"/>
          <w:sz w:val="22"/>
          <w:szCs w:val="22"/>
        </w:rPr>
        <w:tab/>
      </w:r>
      <w:bookmarkEnd w:id="17"/>
      <w:r w:rsidR="00C33986">
        <w:rPr>
          <w:rFonts w:ascii="Times New Roman" w:hAnsi="Times New Roman"/>
          <w:b/>
          <w:sz w:val="22"/>
          <w:szCs w:val="22"/>
        </w:rPr>
        <w:tab/>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51B62922" w14:textId="12931EA1"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95470">
        <w:rPr>
          <w:rFonts w:ascii="Times New Roman" w:hAnsi="Times New Roman"/>
          <w:sz w:val="22"/>
          <w:szCs w:val="22"/>
        </w:rPr>
        <w:t>be made in</w:t>
      </w:r>
      <w:r w:rsidR="0049293D" w:rsidRPr="00395470">
        <w:rPr>
          <w:rFonts w:ascii="Times New Roman" w:hAnsi="Times New Roman"/>
          <w:sz w:val="22"/>
          <w:szCs w:val="22"/>
        </w:rPr>
        <w:t xml:space="preserve"> </w:t>
      </w:r>
      <w:r w:rsidRPr="00395470">
        <w:rPr>
          <w:rFonts w:ascii="Times New Roman" w:hAnsi="Times New Roman"/>
          <w:sz w:val="22"/>
          <w:szCs w:val="22"/>
        </w:rPr>
        <w:t>euro</w:t>
      </w:r>
      <w:r w:rsidR="00AB3AB0" w:rsidRPr="00395470">
        <w:rPr>
          <w:rFonts w:ascii="Times New Roman" w:hAnsi="Times New Roman"/>
          <w:sz w:val="22"/>
          <w:szCs w:val="22"/>
        </w:rPr>
        <w:t>s</w:t>
      </w:r>
      <w:r w:rsidR="00395470" w:rsidRPr="00395470">
        <w:rPr>
          <w:rFonts w:ascii="Times New Roman" w:hAnsi="Times New Roman"/>
          <w:sz w:val="22"/>
          <w:szCs w:val="22"/>
        </w:rPr>
        <w:t>.</w:t>
      </w:r>
    </w:p>
    <w:p w14:paraId="5D995BD8" w14:textId="163C502F" w:rsidR="005D18A2" w:rsidRPr="003D6B6C" w:rsidRDefault="00DF6153" w:rsidP="00E673B8">
      <w:pPr>
        <w:tabs>
          <w:tab w:val="right" w:pos="9885"/>
        </w:tabs>
        <w:ind w:left="1134" w:hanging="709"/>
        <w:jc w:val="both"/>
        <w:rPr>
          <w:rFonts w:ascii="Times New Roman" w:hAnsi="Times New Roman"/>
          <w:sz w:val="22"/>
          <w:szCs w:val="22"/>
        </w:rPr>
      </w:pPr>
      <w:r>
        <w:rPr>
          <w:rFonts w:ascii="Times New Roman" w:hAnsi="Times New Roman"/>
          <w:sz w:val="22"/>
          <w:szCs w:val="22"/>
        </w:rPr>
        <w:tab/>
      </w:r>
      <w:bookmarkStart w:id="19" w:name="_Hlk184077434"/>
      <w:r w:rsidR="00395470" w:rsidRPr="00395470">
        <w:rPr>
          <w:rFonts w:ascii="Times New Roman" w:hAnsi="Times New Roman"/>
          <w:sz w:val="22"/>
          <w:szCs w:val="22"/>
        </w:rPr>
        <w:t xml:space="preserve">Payments shall be authorised and made by Municipality of Tuzi, </w:t>
      </w:r>
      <w:r w:rsidR="009E0417">
        <w:rPr>
          <w:rFonts w:ascii="Times New Roman" w:hAnsi="Times New Roman"/>
          <w:sz w:val="22"/>
          <w:szCs w:val="22"/>
        </w:rPr>
        <w:t>Street 1 No. 44</w:t>
      </w:r>
      <w:r w:rsidR="00395470" w:rsidRPr="00395470">
        <w:rPr>
          <w:rFonts w:ascii="Times New Roman" w:hAnsi="Times New Roman"/>
          <w:sz w:val="22"/>
          <w:szCs w:val="22"/>
        </w:rPr>
        <w:t xml:space="preserve">, 81206 Montenegro. </w:t>
      </w:r>
      <w:bookmarkEnd w:id="19"/>
    </w:p>
    <w:p w14:paraId="22442927" w14:textId="026188D5" w:rsidR="007776A4" w:rsidRPr="003D6B6C" w:rsidRDefault="00E87734" w:rsidP="00395470">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580747EE" w14:textId="3F123FE7" w:rsidR="0047783A" w:rsidRPr="003D6B6C" w:rsidRDefault="0047783A" w:rsidP="00AE72EB">
      <w:pPr>
        <w:spacing w:after="0"/>
        <w:ind w:left="1134"/>
        <w:jc w:val="both"/>
        <w:rPr>
          <w:rFonts w:ascii="Times New Roman" w:hAnsi="Times New Roman"/>
          <w:b/>
          <w:sz w:val="22"/>
          <w:szCs w:val="22"/>
        </w:rPr>
      </w:pPr>
      <w:bookmarkStart w:id="20" w:name="_Hlk184077459"/>
      <w:r w:rsidRPr="00BB5A6D">
        <w:rPr>
          <w:rFonts w:ascii="Times New Roman" w:hAnsi="Times New Roman"/>
          <w:sz w:val="22"/>
          <w:szCs w:val="22"/>
        </w:rPr>
        <w:t xml:space="preserve">For the </w:t>
      </w:r>
      <w:r w:rsidR="00E673B8">
        <w:rPr>
          <w:rFonts w:ascii="Times New Roman" w:hAnsi="Times New Roman"/>
          <w:sz w:val="22"/>
          <w:szCs w:val="22"/>
        </w:rPr>
        <w:t>100</w:t>
      </w:r>
      <w:r w:rsidR="006A5F84" w:rsidRPr="00BB5A6D">
        <w:rPr>
          <w:rFonts w:ascii="Times New Roman" w:hAnsi="Times New Roman"/>
          <w:w w:val="50"/>
          <w:sz w:val="22"/>
          <w:szCs w:val="22"/>
        </w:rPr>
        <w:t> </w:t>
      </w:r>
      <w:r w:rsidRPr="00BB5A6D">
        <w:rPr>
          <w:rFonts w:ascii="Times New Roman" w:hAnsi="Times New Roman"/>
          <w:sz w:val="22"/>
          <w:szCs w:val="22"/>
        </w:rPr>
        <w:t xml:space="preserve">% </w:t>
      </w:r>
      <w:r w:rsidR="00B67671" w:rsidRPr="00BB5A6D">
        <w:rPr>
          <w:rFonts w:ascii="Times New Roman" w:hAnsi="Times New Roman"/>
          <w:sz w:val="22"/>
          <w:szCs w:val="22"/>
        </w:rPr>
        <w:t>final payment</w:t>
      </w:r>
      <w:r w:rsidRPr="00BB5A6D">
        <w:rPr>
          <w:rFonts w:ascii="Times New Roman" w:hAnsi="Times New Roman"/>
          <w:sz w:val="22"/>
          <w:szCs w:val="22"/>
        </w:rPr>
        <w:t xml:space="preserve">, the invoice(s) in </w:t>
      </w:r>
      <w:r w:rsidR="00B67671" w:rsidRPr="00BB5A6D">
        <w:rPr>
          <w:rFonts w:ascii="Times New Roman" w:hAnsi="Times New Roman"/>
          <w:sz w:val="22"/>
          <w:szCs w:val="22"/>
        </w:rPr>
        <w:t>duplicate</w:t>
      </w:r>
      <w:r w:rsidRPr="00BB5A6D">
        <w:rPr>
          <w:rFonts w:ascii="Times New Roman" w:hAnsi="Times New Roman"/>
          <w:sz w:val="22"/>
          <w:szCs w:val="22"/>
        </w:rPr>
        <w:t xml:space="preserve"> </w:t>
      </w:r>
      <w:r w:rsidR="00925DBE" w:rsidRPr="00BB5A6D">
        <w:rPr>
          <w:rFonts w:ascii="Times New Roman" w:hAnsi="Times New Roman"/>
          <w:sz w:val="22"/>
          <w:szCs w:val="22"/>
        </w:rPr>
        <w:t xml:space="preserve">together with the request for </w:t>
      </w:r>
      <w:r w:rsidRPr="00BB5A6D">
        <w:rPr>
          <w:rFonts w:ascii="Times New Roman" w:hAnsi="Times New Roman"/>
          <w:sz w:val="22"/>
          <w:szCs w:val="22"/>
        </w:rPr>
        <w:t>provisional acceptance</w:t>
      </w:r>
      <w:r w:rsidRPr="003D6B6C">
        <w:rPr>
          <w:rFonts w:ascii="Times New Roman" w:hAnsi="Times New Roman"/>
          <w:sz w:val="22"/>
          <w:szCs w:val="22"/>
        </w:rPr>
        <w:t xml:space="preserve"> of the supplies.</w:t>
      </w:r>
      <w:r w:rsidR="00D54C44">
        <w:rPr>
          <w:rFonts w:ascii="Times New Roman" w:hAnsi="Times New Roman"/>
          <w:sz w:val="22"/>
          <w:szCs w:val="22"/>
        </w:rPr>
        <w:t xml:space="preserve"> </w:t>
      </w:r>
      <w:r w:rsidR="00D54C44" w:rsidRPr="00D54C44">
        <w:rPr>
          <w:rFonts w:ascii="Times New Roman" w:hAnsi="Times New Roman"/>
          <w:sz w:val="22"/>
          <w:szCs w:val="22"/>
        </w:rPr>
        <w:t>No pre-financing payment is predicted.</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bookmarkEnd w:id="20"/>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38E28843"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 xml:space="preserve">nce the deadline laid down in Article </w:t>
      </w:r>
      <w:r w:rsidRPr="00BB5A6D">
        <w:rPr>
          <w:rFonts w:ascii="Times New Roman" w:hAnsi="Times New Roman"/>
          <w:sz w:val="22"/>
          <w:szCs w:val="22"/>
        </w:rPr>
        <w:t>2</w:t>
      </w:r>
      <w:r w:rsidR="00D83918" w:rsidRPr="00BB5A6D">
        <w:rPr>
          <w:rFonts w:ascii="Times New Roman" w:hAnsi="Times New Roman"/>
          <w:sz w:val="22"/>
          <w:szCs w:val="22"/>
        </w:rPr>
        <w:t>6.3</w:t>
      </w:r>
      <w:r w:rsidRPr="00BB5A6D">
        <w:rPr>
          <w:rFonts w:ascii="Times New Roman" w:hAnsi="Times New Roman"/>
          <w:sz w:val="22"/>
          <w:szCs w:val="22"/>
        </w:rPr>
        <w:t xml:space="preserve"> has expired, the Contractor </w:t>
      </w:r>
      <w:r w:rsidR="00551543" w:rsidRPr="00BB5A6D">
        <w:rPr>
          <w:rFonts w:ascii="Times New Roman" w:hAnsi="Times New Roman"/>
          <w:sz w:val="22"/>
          <w:szCs w:val="22"/>
        </w:rPr>
        <w:t>sha</w:t>
      </w:r>
      <w:r w:rsidR="006D3BA1" w:rsidRPr="00BB5A6D">
        <w:rPr>
          <w:rFonts w:ascii="Times New Roman" w:hAnsi="Times New Roman"/>
          <w:sz w:val="22"/>
          <w:szCs w:val="22"/>
        </w:rPr>
        <w:t>ll,</w:t>
      </w:r>
      <w:r w:rsidRPr="00BB5A6D">
        <w:rPr>
          <w:rFonts w:ascii="Times New Roman" w:hAnsi="Times New Roman"/>
          <w:sz w:val="22"/>
          <w:szCs w:val="22"/>
        </w:rPr>
        <w:t xml:space="preserve"> upon demand, </w:t>
      </w:r>
      <w:r w:rsidR="006D3BA1" w:rsidRPr="00BB5A6D">
        <w:rPr>
          <w:rFonts w:ascii="Times New Roman" w:hAnsi="Times New Roman"/>
          <w:sz w:val="22"/>
          <w:szCs w:val="22"/>
        </w:rPr>
        <w:t xml:space="preserve">be entitled to late-payment interest </w:t>
      </w:r>
      <w:r w:rsidR="00117ADA" w:rsidRPr="00BB5A6D">
        <w:rPr>
          <w:rFonts w:ascii="Times New Roman" w:hAnsi="Times New Roman"/>
          <w:sz w:val="22"/>
          <w:szCs w:val="22"/>
        </w:rPr>
        <w:t>at the rate and for the period mentioned in the General Conditions</w:t>
      </w:r>
      <w:r w:rsidR="006D3BA1" w:rsidRPr="00BB5A6D">
        <w:rPr>
          <w:rFonts w:ascii="Times New Roman" w:hAnsi="Times New Roman"/>
          <w:sz w:val="22"/>
          <w:szCs w:val="22"/>
        </w:rPr>
        <w:t>. The demand must</w:t>
      </w:r>
      <w:r w:rsidR="006D3BA1" w:rsidRPr="00DC3863">
        <w:rPr>
          <w:rFonts w:ascii="Times New Roman" w:hAnsi="Times New Roman"/>
          <w:sz w:val="22"/>
          <w:szCs w:val="22"/>
        </w:rPr>
        <w:t xml:space="preserve">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6CC1B749" w14:textId="35E86436" w:rsidR="0047783A" w:rsidRPr="00A958AE" w:rsidRDefault="0047783A" w:rsidP="00BB5A6D">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A958AE">
        <w:rPr>
          <w:rFonts w:ascii="Times New Roman" w:hAnsi="Times New Roman"/>
          <w:sz w:val="22"/>
          <w:szCs w:val="22"/>
        </w:rPr>
        <w:t xml:space="preserve">The packaging </w:t>
      </w:r>
      <w:r w:rsidR="00551543" w:rsidRPr="00A958AE">
        <w:rPr>
          <w:rFonts w:ascii="Times New Roman" w:hAnsi="Times New Roman"/>
          <w:sz w:val="22"/>
          <w:szCs w:val="22"/>
        </w:rPr>
        <w:t>sha</w:t>
      </w:r>
      <w:r w:rsidR="008C4E79" w:rsidRPr="00A958AE">
        <w:rPr>
          <w:rFonts w:ascii="Times New Roman" w:hAnsi="Times New Roman"/>
          <w:sz w:val="22"/>
          <w:szCs w:val="22"/>
        </w:rPr>
        <w:t>ll</w:t>
      </w:r>
      <w:r w:rsidRPr="00A958AE">
        <w:rPr>
          <w:rFonts w:ascii="Times New Roman" w:hAnsi="Times New Roman"/>
          <w:sz w:val="22"/>
          <w:szCs w:val="22"/>
        </w:rPr>
        <w:t xml:space="preserve"> become the property of the recipient subject to environment</w:t>
      </w:r>
      <w:r w:rsidR="006D3BA1" w:rsidRPr="00A958AE">
        <w:rPr>
          <w:rFonts w:ascii="Times New Roman" w:hAnsi="Times New Roman"/>
          <w:sz w:val="22"/>
          <w:szCs w:val="22"/>
        </w:rPr>
        <w:t>al considerations</w:t>
      </w:r>
      <w:r w:rsidRPr="00A958AE">
        <w:rPr>
          <w:rFonts w:ascii="Times New Roman" w:hAnsi="Times New Roman"/>
          <w:sz w:val="22"/>
          <w:szCs w:val="22"/>
        </w:rPr>
        <w:t>.</w:t>
      </w:r>
    </w:p>
    <w:p w14:paraId="435B6999" w14:textId="77777777" w:rsidR="00BB5A6D" w:rsidRPr="00BB5A6D" w:rsidRDefault="0047783A" w:rsidP="00BB5A6D">
      <w:pPr>
        <w:ind w:left="1134" w:hanging="1134"/>
        <w:jc w:val="both"/>
        <w:rPr>
          <w:rFonts w:ascii="Times New Roman" w:hAnsi="Times New Roman"/>
          <w:sz w:val="22"/>
          <w:szCs w:val="22"/>
        </w:rPr>
      </w:pPr>
      <w:r w:rsidRPr="00A958AE">
        <w:rPr>
          <w:rFonts w:ascii="Times New Roman" w:hAnsi="Times New Roman"/>
          <w:sz w:val="22"/>
          <w:szCs w:val="22"/>
        </w:rPr>
        <w:t>29.5/6</w:t>
      </w:r>
      <w:r w:rsidR="0041345E" w:rsidRPr="00A958AE">
        <w:rPr>
          <w:rFonts w:ascii="Times New Roman" w:hAnsi="Times New Roman"/>
          <w:sz w:val="22"/>
          <w:szCs w:val="22"/>
        </w:rPr>
        <w:t>/7</w:t>
      </w:r>
      <w:r w:rsidRPr="00A958AE">
        <w:rPr>
          <w:rFonts w:ascii="Times New Roman" w:hAnsi="Times New Roman"/>
          <w:sz w:val="22"/>
          <w:szCs w:val="22"/>
        </w:rPr>
        <w:tab/>
      </w:r>
      <w:bookmarkStart w:id="22" w:name="_Hlk184077498"/>
      <w:r w:rsidR="00BB5A6D" w:rsidRPr="00A958AE">
        <w:rPr>
          <w:rFonts w:ascii="Times New Roman" w:hAnsi="Times New Roman"/>
          <w:sz w:val="22"/>
          <w:szCs w:val="22"/>
        </w:rPr>
        <w:t>The documents which have to accompany</w:t>
      </w:r>
      <w:r w:rsidR="00BB5A6D" w:rsidRPr="00BB5A6D">
        <w:rPr>
          <w:rFonts w:ascii="Times New Roman" w:hAnsi="Times New Roman"/>
          <w:sz w:val="22"/>
          <w:szCs w:val="22"/>
        </w:rPr>
        <w:t xml:space="preserve"> the delivery include:</w:t>
      </w:r>
    </w:p>
    <w:p w14:paraId="24EEDD23" w14:textId="77777777" w:rsidR="00BB5A6D" w:rsidRPr="00BB5A6D" w:rsidRDefault="00BB5A6D" w:rsidP="00BB5A6D">
      <w:pPr>
        <w:ind w:left="1134" w:hanging="1134"/>
        <w:jc w:val="both"/>
        <w:rPr>
          <w:rFonts w:ascii="Times New Roman" w:hAnsi="Times New Roman"/>
          <w:sz w:val="22"/>
          <w:szCs w:val="22"/>
        </w:rPr>
      </w:pPr>
      <w:r w:rsidRPr="00BB5A6D">
        <w:rPr>
          <w:rFonts w:ascii="Times New Roman" w:hAnsi="Times New Roman"/>
          <w:sz w:val="22"/>
          <w:szCs w:val="22"/>
        </w:rPr>
        <w:t>a)</w:t>
      </w:r>
      <w:r w:rsidRPr="00BB5A6D">
        <w:rPr>
          <w:rFonts w:ascii="Times New Roman" w:hAnsi="Times New Roman"/>
          <w:sz w:val="22"/>
          <w:szCs w:val="22"/>
        </w:rPr>
        <w:tab/>
        <w:t>A detailed packing list identifying the contents of each package;</w:t>
      </w:r>
    </w:p>
    <w:p w14:paraId="7AA65749" w14:textId="77777777" w:rsidR="00BB5A6D" w:rsidRPr="00BB5A6D" w:rsidRDefault="00BB5A6D" w:rsidP="00BB5A6D">
      <w:pPr>
        <w:ind w:left="1134" w:hanging="1134"/>
        <w:jc w:val="both"/>
        <w:rPr>
          <w:rFonts w:ascii="Times New Roman" w:hAnsi="Times New Roman"/>
          <w:sz w:val="22"/>
          <w:szCs w:val="22"/>
        </w:rPr>
      </w:pPr>
      <w:r w:rsidRPr="00BB5A6D">
        <w:rPr>
          <w:rFonts w:ascii="Times New Roman" w:hAnsi="Times New Roman"/>
          <w:sz w:val="22"/>
          <w:szCs w:val="22"/>
        </w:rPr>
        <w:lastRenderedPageBreak/>
        <w:t>b)</w:t>
      </w:r>
      <w:r w:rsidRPr="00BB5A6D">
        <w:rPr>
          <w:rFonts w:ascii="Times New Roman" w:hAnsi="Times New Roman"/>
          <w:sz w:val="22"/>
          <w:szCs w:val="22"/>
        </w:rPr>
        <w:tab/>
        <w:t>Usual transport document;</w:t>
      </w:r>
    </w:p>
    <w:p w14:paraId="6D27FDFF" w14:textId="03DA0778" w:rsidR="0047783A" w:rsidRPr="003D6B6C" w:rsidRDefault="00BB5A6D" w:rsidP="00BB5A6D">
      <w:pPr>
        <w:ind w:left="1134" w:hanging="1134"/>
        <w:jc w:val="both"/>
        <w:rPr>
          <w:rFonts w:ascii="Times New Roman" w:hAnsi="Times New Roman"/>
          <w:sz w:val="22"/>
          <w:szCs w:val="22"/>
        </w:rPr>
      </w:pPr>
      <w:r w:rsidRPr="00BB5A6D">
        <w:rPr>
          <w:rFonts w:ascii="Times New Roman" w:hAnsi="Times New Roman"/>
          <w:sz w:val="22"/>
          <w:szCs w:val="22"/>
        </w:rPr>
        <w:t>c)</w:t>
      </w:r>
      <w:r w:rsidRPr="00BB5A6D">
        <w:rPr>
          <w:rFonts w:ascii="Times New Roman" w:hAnsi="Times New Roman"/>
          <w:sz w:val="22"/>
          <w:szCs w:val="22"/>
        </w:rPr>
        <w:tab/>
        <w:t xml:space="preserve">Technical documentation/operating instructions and certificates, as specified in the technical specifications (Annex II); </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4"/>
      <w:bookmarkEnd w:id="22"/>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3"/>
    </w:p>
    <w:p w14:paraId="02D58B05" w14:textId="77777777" w:rsidR="00BB5A6D"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4"/>
      <w:r w:rsidR="00177A94" w:rsidRPr="003D6B6C">
        <w:rPr>
          <w:rFonts w:ascii="Times New Roman" w:hAnsi="Times New Roman"/>
          <w:b/>
          <w:sz w:val="24"/>
          <w:szCs w:val="24"/>
        </w:rPr>
        <w:t xml:space="preserve"> obligations</w:t>
      </w:r>
    </w:p>
    <w:p w14:paraId="18380BC3" w14:textId="7903F7C9"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BB5A6D" w:rsidRPr="00BB5A6D">
        <w:rPr>
          <w:rFonts w:ascii="Times New Roman" w:hAnsi="Times New Roman"/>
          <w:sz w:val="22"/>
          <w:szCs w:val="22"/>
        </w:rPr>
        <w:t xml:space="preserve">The commercial warranty </w:t>
      </w:r>
      <w:r w:rsidR="00BB5A6D">
        <w:rPr>
          <w:rFonts w:ascii="Times New Roman" w:hAnsi="Times New Roman"/>
          <w:sz w:val="22"/>
          <w:szCs w:val="22"/>
        </w:rPr>
        <w:t>for superstructure</w:t>
      </w:r>
      <w:r w:rsidR="00E673B8">
        <w:rPr>
          <w:rFonts w:ascii="Times New Roman" w:hAnsi="Times New Roman"/>
          <w:sz w:val="22"/>
          <w:szCs w:val="22"/>
        </w:rPr>
        <w:t xml:space="preserve"> (items 1.2 and 2.2)</w:t>
      </w:r>
      <w:r w:rsidR="00BB5A6D">
        <w:rPr>
          <w:rFonts w:ascii="Times New Roman" w:hAnsi="Times New Roman"/>
          <w:sz w:val="22"/>
          <w:szCs w:val="22"/>
        </w:rPr>
        <w:t xml:space="preserve"> </w:t>
      </w:r>
      <w:r w:rsidR="00BB5A6D" w:rsidRPr="00BB5A6D">
        <w:rPr>
          <w:rFonts w:ascii="Times New Roman" w:hAnsi="Times New Roman"/>
          <w:sz w:val="22"/>
          <w:szCs w:val="22"/>
        </w:rPr>
        <w:t xml:space="preserve">shall remain valid for minimum </w:t>
      </w:r>
      <w:r w:rsidR="00BB5A6D">
        <w:rPr>
          <w:rFonts w:ascii="Times New Roman" w:hAnsi="Times New Roman"/>
          <w:sz w:val="22"/>
          <w:szCs w:val="22"/>
        </w:rPr>
        <w:t>24 months</w:t>
      </w:r>
      <w:r w:rsidR="00BB5A6D" w:rsidRPr="00BB5A6D">
        <w:rPr>
          <w:rFonts w:ascii="Times New Roman" w:hAnsi="Times New Roman"/>
          <w:sz w:val="22"/>
          <w:szCs w:val="22"/>
        </w:rPr>
        <w:t>, starting from the date of issuance of Final Acceptance Certificate (after the end of 1-year standard warranty).</w:t>
      </w:r>
    </w:p>
    <w:p w14:paraId="5ABF62BA" w14:textId="51126C8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w:t>
      </w:r>
      <w:r w:rsidRPr="00BB5A6D">
        <w:rPr>
          <w:rFonts w:ascii="Times New Roman" w:hAnsi="Times New Roman"/>
          <w:sz w:val="22"/>
          <w:szCs w:val="22"/>
        </w:rPr>
        <w:t xml:space="preserve">remain valid for </w:t>
      </w:r>
      <w:r w:rsidR="00BB5A6D">
        <w:rPr>
          <w:rFonts w:ascii="Times New Roman" w:hAnsi="Times New Roman"/>
          <w:sz w:val="22"/>
          <w:szCs w:val="22"/>
        </w:rPr>
        <w:t>12 months</w:t>
      </w:r>
      <w:r w:rsidRPr="00BB5A6D">
        <w:rPr>
          <w:rFonts w:ascii="Times New Roman" w:hAnsi="Times New Roman"/>
          <w:sz w:val="22"/>
          <w:szCs w:val="22"/>
        </w:rPr>
        <w:t xml:space="preserve"> after provisional</w:t>
      </w:r>
      <w:r w:rsidRPr="003D6B6C">
        <w:rPr>
          <w:rFonts w:ascii="Times New Roman" w:hAnsi="Times New Roman"/>
          <w:sz w:val="22"/>
          <w:szCs w:val="22"/>
        </w:rPr>
        <w:t xml:space="preserve"> acceptance.</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5"/>
    </w:p>
    <w:p w14:paraId="7B8BBE4E" w14:textId="4AA35DF3"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BB5A6D">
        <w:rPr>
          <w:rFonts w:ascii="Times New Roman" w:hAnsi="Times New Roman"/>
          <w:sz w:val="22"/>
          <w:szCs w:val="22"/>
        </w:rPr>
        <w:t xml:space="preserve">courts in </w:t>
      </w:r>
      <w:r w:rsidR="00E673B8">
        <w:rPr>
          <w:rFonts w:ascii="Times New Roman" w:hAnsi="Times New Roman"/>
          <w:sz w:val="22"/>
          <w:szCs w:val="22"/>
        </w:rPr>
        <w:t>Podgorica</w:t>
      </w:r>
      <w:r w:rsidR="00B5710F">
        <w:rPr>
          <w:rFonts w:ascii="Times New Roman" w:hAnsi="Times New Roman"/>
          <w:sz w:val="22"/>
          <w:szCs w:val="22"/>
        </w:rPr>
        <w:t>, Montenegro</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BB5A6D" w:rsidDel="005B6DF4">
        <w:rPr>
          <w:sz w:val="22"/>
          <w:szCs w:val="22"/>
        </w:rPr>
        <w:t xml:space="preserve"> </w:t>
      </w:r>
      <w:r w:rsidR="001B55AC" w:rsidRPr="00BB5A6D">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40121" w14:textId="77777777" w:rsidR="009A45D1" w:rsidRPr="006A5F84" w:rsidRDefault="009A45D1">
      <w:r w:rsidRPr="006A5F84">
        <w:separator/>
      </w:r>
    </w:p>
  </w:endnote>
  <w:endnote w:type="continuationSeparator" w:id="0">
    <w:p w14:paraId="77642E43" w14:textId="77777777" w:rsidR="009A45D1" w:rsidRPr="006A5F84" w:rsidRDefault="009A45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DFA88" w14:textId="77777777" w:rsidR="009A45D1" w:rsidRPr="006A5F84" w:rsidRDefault="009A45D1">
      <w:r w:rsidRPr="006A5F84">
        <w:separator/>
      </w:r>
    </w:p>
  </w:footnote>
  <w:footnote w:type="continuationSeparator" w:id="0">
    <w:p w14:paraId="4C2DB2F7" w14:textId="77777777" w:rsidR="009A45D1" w:rsidRPr="006A5F84" w:rsidRDefault="009A45D1">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1810C" w14:textId="6BF9EC14" w:rsidR="00DF6153" w:rsidRPr="00775916" w:rsidRDefault="009B77B0" w:rsidP="00775916">
    <w:pPr>
      <w:rPr>
        <w:b/>
        <w:bCs/>
      </w:rPr>
    </w:pPr>
    <w:r>
      <w:rPr>
        <w:noProof/>
      </w:rPr>
      <w:drawing>
        <wp:inline distT="0" distB="0" distL="0" distR="0" wp14:anchorId="6DE29F4B" wp14:editId="2A05ECF8">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48427497">
    <w:abstractNumId w:val="13"/>
  </w:num>
  <w:num w:numId="2" w16cid:durableId="671375318">
    <w:abstractNumId w:val="29"/>
  </w:num>
  <w:num w:numId="3" w16cid:durableId="1368065196">
    <w:abstractNumId w:val="12"/>
  </w:num>
  <w:num w:numId="4" w16cid:durableId="1955554899">
    <w:abstractNumId w:val="15"/>
  </w:num>
  <w:num w:numId="5" w16cid:durableId="1715495195">
    <w:abstractNumId w:val="31"/>
  </w:num>
  <w:num w:numId="6" w16cid:durableId="952173074">
    <w:abstractNumId w:val="10"/>
  </w:num>
  <w:num w:numId="7" w16cid:durableId="1162700357">
    <w:abstractNumId w:val="6"/>
  </w:num>
  <w:num w:numId="8" w16cid:durableId="1477381811">
    <w:abstractNumId w:val="2"/>
  </w:num>
  <w:num w:numId="9" w16cid:durableId="1549806216">
    <w:abstractNumId w:val="16"/>
  </w:num>
  <w:num w:numId="10" w16cid:durableId="984578414">
    <w:abstractNumId w:val="5"/>
  </w:num>
  <w:num w:numId="11" w16cid:durableId="408700912">
    <w:abstractNumId w:val="27"/>
  </w:num>
  <w:num w:numId="12" w16cid:durableId="1318612422">
    <w:abstractNumId w:val="14"/>
  </w:num>
  <w:num w:numId="13" w16cid:durableId="1483158829">
    <w:abstractNumId w:val="7"/>
  </w:num>
  <w:num w:numId="14" w16cid:durableId="1756855418">
    <w:abstractNumId w:val="24"/>
  </w:num>
  <w:num w:numId="15" w16cid:durableId="1225219950">
    <w:abstractNumId w:val="25"/>
  </w:num>
  <w:num w:numId="16" w16cid:durableId="462231054">
    <w:abstractNumId w:val="9"/>
  </w:num>
  <w:num w:numId="17" w16cid:durableId="1634745994">
    <w:abstractNumId w:val="20"/>
  </w:num>
  <w:num w:numId="18" w16cid:durableId="1120801623">
    <w:abstractNumId w:val="11"/>
  </w:num>
  <w:num w:numId="19" w16cid:durableId="1861242661">
    <w:abstractNumId w:val="3"/>
  </w:num>
  <w:num w:numId="20" w16cid:durableId="882903633">
    <w:abstractNumId w:val="28"/>
  </w:num>
  <w:num w:numId="21" w16cid:durableId="264774496">
    <w:abstractNumId w:val="21"/>
  </w:num>
  <w:num w:numId="22" w16cid:durableId="363991762">
    <w:abstractNumId w:val="18"/>
  </w:num>
  <w:num w:numId="23" w16cid:durableId="1316757989">
    <w:abstractNumId w:val="1"/>
  </w:num>
  <w:num w:numId="24" w16cid:durableId="1554080258">
    <w:abstractNumId w:val="26"/>
  </w:num>
  <w:num w:numId="25" w16cid:durableId="1775636811">
    <w:abstractNumId w:val="17"/>
  </w:num>
  <w:num w:numId="26" w16cid:durableId="1211069236">
    <w:abstractNumId w:val="0"/>
  </w:num>
  <w:num w:numId="27" w16cid:durableId="1598563475">
    <w:abstractNumId w:val="22"/>
  </w:num>
  <w:num w:numId="28" w16cid:durableId="2102220084">
    <w:abstractNumId w:val="19"/>
  </w:num>
  <w:num w:numId="29" w16cid:durableId="100338795">
    <w:abstractNumId w:val="4"/>
  </w:num>
  <w:num w:numId="30" w16cid:durableId="2071998725">
    <w:abstractNumId w:val="23"/>
  </w:num>
  <w:num w:numId="31" w16cid:durableId="163945363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84B"/>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4F39"/>
    <w:rsid w:val="00085CA1"/>
    <w:rsid w:val="00087F35"/>
    <w:rsid w:val="0009286D"/>
    <w:rsid w:val="0009746B"/>
    <w:rsid w:val="000A1A71"/>
    <w:rsid w:val="000A3B36"/>
    <w:rsid w:val="000A6371"/>
    <w:rsid w:val="000A7A2C"/>
    <w:rsid w:val="000B0983"/>
    <w:rsid w:val="000B1236"/>
    <w:rsid w:val="000B46A8"/>
    <w:rsid w:val="000B79F6"/>
    <w:rsid w:val="000C4AE6"/>
    <w:rsid w:val="000C5211"/>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219"/>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16AF"/>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73BA"/>
    <w:rsid w:val="00371851"/>
    <w:rsid w:val="00371F01"/>
    <w:rsid w:val="003721AD"/>
    <w:rsid w:val="00372540"/>
    <w:rsid w:val="00382640"/>
    <w:rsid w:val="0038357E"/>
    <w:rsid w:val="00384BAB"/>
    <w:rsid w:val="00384BFF"/>
    <w:rsid w:val="00385FFC"/>
    <w:rsid w:val="00387C56"/>
    <w:rsid w:val="003915CC"/>
    <w:rsid w:val="003925E9"/>
    <w:rsid w:val="00395470"/>
    <w:rsid w:val="00395823"/>
    <w:rsid w:val="003A1309"/>
    <w:rsid w:val="003A3F6F"/>
    <w:rsid w:val="003A431E"/>
    <w:rsid w:val="003B0F49"/>
    <w:rsid w:val="003C084D"/>
    <w:rsid w:val="003C7266"/>
    <w:rsid w:val="003D2078"/>
    <w:rsid w:val="003D3CAA"/>
    <w:rsid w:val="003D625C"/>
    <w:rsid w:val="003D6B6C"/>
    <w:rsid w:val="003D7611"/>
    <w:rsid w:val="003E7C71"/>
    <w:rsid w:val="003F1B86"/>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5FEB"/>
    <w:rsid w:val="00536B4A"/>
    <w:rsid w:val="00537189"/>
    <w:rsid w:val="00551543"/>
    <w:rsid w:val="005531CC"/>
    <w:rsid w:val="00554164"/>
    <w:rsid w:val="00555F46"/>
    <w:rsid w:val="00556923"/>
    <w:rsid w:val="005571DF"/>
    <w:rsid w:val="005634B2"/>
    <w:rsid w:val="00563662"/>
    <w:rsid w:val="00563669"/>
    <w:rsid w:val="00575CB0"/>
    <w:rsid w:val="005772F7"/>
    <w:rsid w:val="00582894"/>
    <w:rsid w:val="00583FF3"/>
    <w:rsid w:val="00584F28"/>
    <w:rsid w:val="00586D6C"/>
    <w:rsid w:val="0059015D"/>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42"/>
    <w:rsid w:val="005D0163"/>
    <w:rsid w:val="005D03AA"/>
    <w:rsid w:val="005D05B0"/>
    <w:rsid w:val="005D18A2"/>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B244D"/>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1303B"/>
    <w:rsid w:val="00722016"/>
    <w:rsid w:val="00724C93"/>
    <w:rsid w:val="00724D0C"/>
    <w:rsid w:val="00725082"/>
    <w:rsid w:val="0073450F"/>
    <w:rsid w:val="007520CA"/>
    <w:rsid w:val="0075384B"/>
    <w:rsid w:val="007552DC"/>
    <w:rsid w:val="00760195"/>
    <w:rsid w:val="007625F7"/>
    <w:rsid w:val="00763299"/>
    <w:rsid w:val="00763B1C"/>
    <w:rsid w:val="007666CD"/>
    <w:rsid w:val="00771480"/>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E4869"/>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7440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481"/>
    <w:rsid w:val="00920A51"/>
    <w:rsid w:val="0092108F"/>
    <w:rsid w:val="00922542"/>
    <w:rsid w:val="00923EDA"/>
    <w:rsid w:val="009251E3"/>
    <w:rsid w:val="009254C4"/>
    <w:rsid w:val="00925DBE"/>
    <w:rsid w:val="00930AD1"/>
    <w:rsid w:val="0093582A"/>
    <w:rsid w:val="00943450"/>
    <w:rsid w:val="0094670B"/>
    <w:rsid w:val="00950B0C"/>
    <w:rsid w:val="009628D6"/>
    <w:rsid w:val="0097513D"/>
    <w:rsid w:val="00980A42"/>
    <w:rsid w:val="00986B1E"/>
    <w:rsid w:val="00990AE7"/>
    <w:rsid w:val="009976B3"/>
    <w:rsid w:val="009A0E33"/>
    <w:rsid w:val="009A3792"/>
    <w:rsid w:val="009A3A53"/>
    <w:rsid w:val="009A45D1"/>
    <w:rsid w:val="009A4F18"/>
    <w:rsid w:val="009B0CF1"/>
    <w:rsid w:val="009B1FBF"/>
    <w:rsid w:val="009B2F1F"/>
    <w:rsid w:val="009B422E"/>
    <w:rsid w:val="009B4D6F"/>
    <w:rsid w:val="009B5A6D"/>
    <w:rsid w:val="009B71DF"/>
    <w:rsid w:val="009B77B0"/>
    <w:rsid w:val="009C0E86"/>
    <w:rsid w:val="009D2938"/>
    <w:rsid w:val="009D3E71"/>
    <w:rsid w:val="009D5B58"/>
    <w:rsid w:val="009D6A3D"/>
    <w:rsid w:val="009E0417"/>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2714"/>
    <w:rsid w:val="00A75650"/>
    <w:rsid w:val="00A76A6E"/>
    <w:rsid w:val="00A845B1"/>
    <w:rsid w:val="00A87E3D"/>
    <w:rsid w:val="00A90875"/>
    <w:rsid w:val="00A958AE"/>
    <w:rsid w:val="00A9597C"/>
    <w:rsid w:val="00A97715"/>
    <w:rsid w:val="00AA24A4"/>
    <w:rsid w:val="00AA4766"/>
    <w:rsid w:val="00AA4DBD"/>
    <w:rsid w:val="00AA5BB2"/>
    <w:rsid w:val="00AB26E0"/>
    <w:rsid w:val="00AB29A9"/>
    <w:rsid w:val="00AB3A36"/>
    <w:rsid w:val="00AB3AB0"/>
    <w:rsid w:val="00AB5ED5"/>
    <w:rsid w:val="00AB66A5"/>
    <w:rsid w:val="00AC1107"/>
    <w:rsid w:val="00AC2621"/>
    <w:rsid w:val="00AC5207"/>
    <w:rsid w:val="00AC7636"/>
    <w:rsid w:val="00AC7EEC"/>
    <w:rsid w:val="00AD1A3A"/>
    <w:rsid w:val="00AD3A90"/>
    <w:rsid w:val="00AD7861"/>
    <w:rsid w:val="00AE0E38"/>
    <w:rsid w:val="00AE5192"/>
    <w:rsid w:val="00AE5504"/>
    <w:rsid w:val="00AE6600"/>
    <w:rsid w:val="00AE72EB"/>
    <w:rsid w:val="00AE7D13"/>
    <w:rsid w:val="00AF2D5B"/>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10F"/>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B5A6D"/>
    <w:rsid w:val="00BC0A51"/>
    <w:rsid w:val="00BC3B75"/>
    <w:rsid w:val="00BC3D17"/>
    <w:rsid w:val="00BC6222"/>
    <w:rsid w:val="00BC743F"/>
    <w:rsid w:val="00BD1306"/>
    <w:rsid w:val="00BD19BA"/>
    <w:rsid w:val="00BD201F"/>
    <w:rsid w:val="00BD2F43"/>
    <w:rsid w:val="00BD3371"/>
    <w:rsid w:val="00BD72C6"/>
    <w:rsid w:val="00BE2BAE"/>
    <w:rsid w:val="00BE3FDF"/>
    <w:rsid w:val="00BF077E"/>
    <w:rsid w:val="00BF1A9A"/>
    <w:rsid w:val="00C12AF0"/>
    <w:rsid w:val="00C13C29"/>
    <w:rsid w:val="00C1524D"/>
    <w:rsid w:val="00C17310"/>
    <w:rsid w:val="00C20179"/>
    <w:rsid w:val="00C20F71"/>
    <w:rsid w:val="00C23886"/>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1685"/>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4C44"/>
    <w:rsid w:val="00D576CA"/>
    <w:rsid w:val="00D60913"/>
    <w:rsid w:val="00D61B92"/>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B2495"/>
    <w:rsid w:val="00DC3863"/>
    <w:rsid w:val="00DC50E2"/>
    <w:rsid w:val="00DC54A0"/>
    <w:rsid w:val="00DC6C9C"/>
    <w:rsid w:val="00DD0624"/>
    <w:rsid w:val="00DD13B0"/>
    <w:rsid w:val="00DD2B6E"/>
    <w:rsid w:val="00DD5838"/>
    <w:rsid w:val="00DE13B8"/>
    <w:rsid w:val="00DE7055"/>
    <w:rsid w:val="00DE71AB"/>
    <w:rsid w:val="00DF6153"/>
    <w:rsid w:val="00DF6B80"/>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673B8"/>
    <w:rsid w:val="00E730A5"/>
    <w:rsid w:val="00E76535"/>
    <w:rsid w:val="00E811F3"/>
    <w:rsid w:val="00E85F91"/>
    <w:rsid w:val="00E87734"/>
    <w:rsid w:val="00E877E3"/>
    <w:rsid w:val="00E911F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279FF"/>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4DD"/>
    <w:rsid w:val="00F874CE"/>
    <w:rsid w:val="00F87ABC"/>
    <w:rsid w:val="00F87F88"/>
    <w:rsid w:val="00F90A9F"/>
    <w:rsid w:val="00F91DF6"/>
    <w:rsid w:val="00F94745"/>
    <w:rsid w:val="00F962E3"/>
    <w:rsid w:val="00FA3F66"/>
    <w:rsid w:val="00FB2706"/>
    <w:rsid w:val="00FB3374"/>
    <w:rsid w:val="00FB67DE"/>
    <w:rsid w:val="00FC4F19"/>
    <w:rsid w:val="00FD1E84"/>
    <w:rsid w:val="00FD23CD"/>
    <w:rsid w:val="00FD659C"/>
    <w:rsid w:val="00FD68B9"/>
    <w:rsid w:val="00FD6CB9"/>
    <w:rsid w:val="00FE03B5"/>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0758">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63285215">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29679041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7502E-ABE7-475C-BFCE-D4E69F62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5516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Korisnik</cp:lastModifiedBy>
  <cp:revision>12</cp:revision>
  <cp:lastPrinted>2014-02-11T14:32:00Z</cp:lastPrinted>
  <dcterms:created xsi:type="dcterms:W3CDTF">2024-12-09T14:32:00Z</dcterms:created>
  <dcterms:modified xsi:type="dcterms:W3CDTF">2024-12-18T12:45:00Z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