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6A61E" w14:textId="77777777" w:rsidR="00AD5932" w:rsidRPr="00B52697" w:rsidRDefault="009D056A" w:rsidP="00B526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val=""/>
        </w:rPr>
      </w:pPr>
      <w:r w:rsidRPr="00B52697">
        <w:rPr>
          <w:rFonts w:ascii="Garamond" w:hAnsi="Garamond"/>
          <w:sz w:val="24"/>
          <w:szCs w:val="24"/>
          <w:lang w:val=""/>
        </w:rPr>
        <w:t xml:space="preserve">Na osnovu člana 53 </w:t>
      </w:r>
      <w:r w:rsidR="00605C70" w:rsidRPr="00B52697">
        <w:rPr>
          <w:rFonts w:ascii="Garamond" w:hAnsi="Garamond"/>
          <w:sz w:val="24"/>
          <w:szCs w:val="24"/>
          <w:lang w:val=""/>
        </w:rPr>
        <w:t xml:space="preserve">stav 1 </w:t>
      </w:r>
      <w:r w:rsidR="00E147BA" w:rsidRPr="00B52697">
        <w:rPr>
          <w:rFonts w:ascii="Garamond" w:hAnsi="Garamond"/>
          <w:sz w:val="24"/>
          <w:szCs w:val="24"/>
          <w:lang w:val=""/>
        </w:rPr>
        <w:t xml:space="preserve">tačka 2 </w:t>
      </w:r>
      <w:r w:rsidRPr="00B52697">
        <w:rPr>
          <w:rFonts w:ascii="Garamond" w:hAnsi="Garamond"/>
          <w:sz w:val="24"/>
          <w:szCs w:val="24"/>
          <w:lang w:val=""/>
        </w:rPr>
        <w:t>Statuta opštine Tuzi („Službeni list Crne Gore – Opštinski propisi</w:t>
      </w:r>
      <w:r w:rsidR="00786CF2" w:rsidRPr="00B52697">
        <w:rPr>
          <w:rFonts w:ascii="Garamond" w:hAnsi="Garamond"/>
          <w:sz w:val="24"/>
          <w:szCs w:val="24"/>
          <w:lang w:val=""/>
        </w:rPr>
        <w:t>”</w:t>
      </w:r>
      <w:r w:rsidRPr="00B52697">
        <w:rPr>
          <w:rFonts w:ascii="Garamond" w:hAnsi="Garamond"/>
          <w:sz w:val="24"/>
          <w:szCs w:val="24"/>
          <w:lang w:val=""/>
        </w:rPr>
        <w:t>, br. 24/19</w:t>
      </w:r>
      <w:r w:rsidR="000C6EFF" w:rsidRPr="00B52697">
        <w:rPr>
          <w:rFonts w:ascii="Garamond" w:hAnsi="Garamond"/>
          <w:sz w:val="24"/>
          <w:szCs w:val="24"/>
        </w:rPr>
        <w:t xml:space="preserve">, </w:t>
      </w:r>
      <w:r w:rsidRPr="00B52697">
        <w:rPr>
          <w:rFonts w:ascii="Garamond" w:hAnsi="Garamond"/>
          <w:sz w:val="24"/>
          <w:szCs w:val="24"/>
          <w:lang w:val=""/>
        </w:rPr>
        <w:t>05/20</w:t>
      </w:r>
      <w:r w:rsidR="000C6EFF" w:rsidRPr="00B52697">
        <w:rPr>
          <w:rFonts w:ascii="Garamond" w:hAnsi="Garamond"/>
          <w:sz w:val="24"/>
          <w:szCs w:val="24"/>
        </w:rPr>
        <w:t>, 51/22, 55/22</w:t>
      </w:r>
      <w:r w:rsidRPr="00B52697">
        <w:rPr>
          <w:rFonts w:ascii="Garamond" w:hAnsi="Garamond"/>
          <w:sz w:val="24"/>
          <w:szCs w:val="24"/>
          <w:lang w:val=""/>
        </w:rPr>
        <w:t xml:space="preserve">), člana </w:t>
      </w:r>
      <w:r w:rsidR="00AD7265" w:rsidRPr="00B52697">
        <w:rPr>
          <w:rFonts w:ascii="Garamond" w:hAnsi="Garamond"/>
          <w:sz w:val="24"/>
          <w:szCs w:val="24"/>
          <w:lang w:val=""/>
        </w:rPr>
        <w:t>38</w:t>
      </w:r>
      <w:r w:rsidR="00061497" w:rsidRPr="00B52697">
        <w:rPr>
          <w:rFonts w:ascii="Garamond" w:hAnsi="Garamond"/>
          <w:sz w:val="24"/>
          <w:szCs w:val="24"/>
          <w:lang w:val=""/>
        </w:rPr>
        <w:t xml:space="preserve"> stav 1 tačka 2</w:t>
      </w:r>
      <w:r w:rsidR="00AD7265" w:rsidRPr="00B52697">
        <w:rPr>
          <w:rFonts w:ascii="Garamond" w:hAnsi="Garamond"/>
          <w:sz w:val="24"/>
          <w:szCs w:val="24"/>
          <w:lang w:val=""/>
        </w:rPr>
        <w:t xml:space="preserve"> Zakona o lokalnoj samoupravi („Službeni list Crne Gore</w:t>
      </w:r>
      <w:r w:rsidR="0039169E" w:rsidRPr="00B52697">
        <w:rPr>
          <w:rFonts w:ascii="Garamond" w:hAnsi="Garamond"/>
          <w:sz w:val="24"/>
          <w:szCs w:val="24"/>
          <w:lang w:val=""/>
        </w:rPr>
        <w:t>”</w:t>
      </w:r>
      <w:r w:rsidR="00AD7265" w:rsidRPr="00B52697">
        <w:rPr>
          <w:rFonts w:ascii="Garamond" w:hAnsi="Garamond"/>
          <w:sz w:val="24"/>
          <w:szCs w:val="24"/>
          <w:lang w:val=""/>
        </w:rPr>
        <w:t>, br. 02/18</w:t>
      </w:r>
      <w:r w:rsidR="00BD647B" w:rsidRPr="00B52697">
        <w:rPr>
          <w:rFonts w:ascii="Garamond" w:hAnsi="Garamond"/>
          <w:sz w:val="24"/>
          <w:szCs w:val="24"/>
          <w:lang w:val=""/>
        </w:rPr>
        <w:t xml:space="preserve">, </w:t>
      </w:r>
      <w:r w:rsidR="00AD7265" w:rsidRPr="00B52697">
        <w:rPr>
          <w:rFonts w:ascii="Garamond" w:hAnsi="Garamond"/>
          <w:sz w:val="24"/>
          <w:szCs w:val="24"/>
          <w:lang w:val=""/>
        </w:rPr>
        <w:t>34/19</w:t>
      </w:r>
      <w:r w:rsidR="00BD647B" w:rsidRPr="00B52697">
        <w:rPr>
          <w:rFonts w:ascii="Garamond" w:hAnsi="Garamond"/>
          <w:sz w:val="24"/>
          <w:szCs w:val="24"/>
          <w:lang w:val=""/>
        </w:rPr>
        <w:t>, 38/20</w:t>
      </w:r>
      <w:r w:rsidR="000C6EFF" w:rsidRPr="00B52697">
        <w:rPr>
          <w:rFonts w:ascii="Garamond" w:hAnsi="Garamond"/>
          <w:sz w:val="24"/>
          <w:szCs w:val="24"/>
        </w:rPr>
        <w:t xml:space="preserve">, </w:t>
      </w:r>
      <w:r w:rsidR="00C91340" w:rsidRPr="00B52697">
        <w:rPr>
          <w:rFonts w:ascii="Garamond" w:hAnsi="Garamond"/>
          <w:sz w:val="24"/>
          <w:szCs w:val="24"/>
        </w:rPr>
        <w:t xml:space="preserve">50/22, 84/22, </w:t>
      </w:r>
      <w:r w:rsidR="000C6EFF" w:rsidRPr="00B52697">
        <w:rPr>
          <w:rFonts w:ascii="Garamond" w:hAnsi="Garamond"/>
          <w:sz w:val="24"/>
          <w:szCs w:val="24"/>
        </w:rPr>
        <w:t>81/25, 98/25</w:t>
      </w:r>
      <w:r w:rsidR="00AD7265" w:rsidRPr="00B52697">
        <w:rPr>
          <w:rFonts w:ascii="Garamond" w:hAnsi="Garamond"/>
          <w:sz w:val="24"/>
          <w:szCs w:val="24"/>
          <w:lang w:val=""/>
        </w:rPr>
        <w:t>)</w:t>
      </w:r>
      <w:r w:rsidR="00786CF2" w:rsidRPr="00B52697">
        <w:rPr>
          <w:rFonts w:ascii="Garamond" w:hAnsi="Garamond"/>
          <w:sz w:val="24"/>
          <w:szCs w:val="24"/>
          <w:lang w:val=""/>
        </w:rPr>
        <w:t xml:space="preserve"> i člana 11 stav 1 alineja 6 Odluke o osnivanju Društva sa ograničenom odgovornošću </w:t>
      </w:r>
      <w:r w:rsidR="0039169E" w:rsidRPr="00B52697">
        <w:rPr>
          <w:rFonts w:ascii="Garamond" w:hAnsi="Garamond"/>
          <w:sz w:val="24"/>
          <w:szCs w:val="24"/>
          <w:lang w:val=""/>
        </w:rPr>
        <w:t>„</w:t>
      </w:r>
      <w:r w:rsidR="00786CF2" w:rsidRPr="00B52697">
        <w:rPr>
          <w:rFonts w:ascii="Garamond" w:hAnsi="Garamond"/>
          <w:sz w:val="24"/>
          <w:szCs w:val="24"/>
          <w:lang w:val=""/>
        </w:rPr>
        <w:t>Komunalno/Komunale</w:t>
      </w:r>
      <w:r w:rsidR="0039169E" w:rsidRPr="00B52697">
        <w:rPr>
          <w:rFonts w:ascii="Garamond" w:hAnsi="Garamond"/>
          <w:sz w:val="24"/>
          <w:szCs w:val="24"/>
          <w:lang w:val=""/>
        </w:rPr>
        <w:t>”</w:t>
      </w:r>
      <w:r w:rsidR="00786CF2" w:rsidRPr="00B52697">
        <w:rPr>
          <w:rFonts w:ascii="Garamond" w:hAnsi="Garamond"/>
          <w:sz w:val="24"/>
          <w:szCs w:val="24"/>
          <w:lang w:val=""/>
        </w:rPr>
        <w:t xml:space="preserve"> Tuzi („Službeni list Crne Gore - opštinski propisi”, br. 33/19, 40/21</w:t>
      </w:r>
      <w:r w:rsidR="004E6781" w:rsidRPr="00B52697">
        <w:rPr>
          <w:rFonts w:ascii="Garamond" w:hAnsi="Garamond"/>
          <w:sz w:val="24"/>
          <w:szCs w:val="24"/>
        </w:rPr>
        <w:t>, 03/24</w:t>
      </w:r>
      <w:r w:rsidR="00786CF2" w:rsidRPr="00B52697">
        <w:rPr>
          <w:rFonts w:ascii="Garamond" w:hAnsi="Garamond"/>
          <w:sz w:val="24"/>
          <w:szCs w:val="24"/>
          <w:lang w:val=""/>
        </w:rPr>
        <w:t xml:space="preserve">), </w:t>
      </w:r>
      <w:r w:rsidR="00AD7265" w:rsidRPr="00B52697">
        <w:rPr>
          <w:rFonts w:ascii="Garamond" w:hAnsi="Garamond"/>
          <w:sz w:val="24"/>
          <w:szCs w:val="24"/>
          <w:lang w:val=""/>
        </w:rPr>
        <w:t xml:space="preserve">Skupština opštine Tuzi je na sjednici održanoj dana </w:t>
      </w:r>
      <w:r w:rsidR="004641B4">
        <w:rPr>
          <w:rFonts w:ascii="Garamond" w:hAnsi="Garamond"/>
          <w:sz w:val="24"/>
          <w:szCs w:val="24"/>
        </w:rPr>
        <w:t>22.12</w:t>
      </w:r>
      <w:r w:rsidR="00AD7265" w:rsidRPr="00B52697">
        <w:rPr>
          <w:rFonts w:ascii="Garamond" w:hAnsi="Garamond"/>
          <w:sz w:val="24"/>
          <w:szCs w:val="24"/>
          <w:lang w:val=""/>
        </w:rPr>
        <w:t>.</w:t>
      </w:r>
      <w:r w:rsidR="004E6781" w:rsidRPr="00B52697">
        <w:rPr>
          <w:rFonts w:ascii="Garamond" w:hAnsi="Garamond"/>
          <w:sz w:val="24"/>
          <w:szCs w:val="24"/>
        </w:rPr>
        <w:t>2025</w:t>
      </w:r>
      <w:r w:rsidR="00AD7265" w:rsidRPr="00B52697">
        <w:rPr>
          <w:rFonts w:ascii="Garamond" w:hAnsi="Garamond"/>
          <w:sz w:val="24"/>
          <w:szCs w:val="24"/>
          <w:lang w:val=""/>
        </w:rPr>
        <w:t>. godine donijela</w:t>
      </w:r>
    </w:p>
    <w:p w14:paraId="0CAFD13A" w14:textId="77777777" w:rsidR="0039169E" w:rsidRPr="00B52697" w:rsidRDefault="0039169E" w:rsidP="00B526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val=""/>
        </w:rPr>
      </w:pPr>
    </w:p>
    <w:p w14:paraId="4FFA4927" w14:textId="77777777" w:rsidR="0039169E" w:rsidRPr="00B52697" w:rsidRDefault="0039169E" w:rsidP="00B526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val=""/>
        </w:rPr>
      </w:pPr>
    </w:p>
    <w:p w14:paraId="4FD54804" w14:textId="77777777" w:rsidR="00AD7265" w:rsidRPr="00B52697" w:rsidRDefault="009D056A" w:rsidP="00B52697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"/>
        </w:rPr>
      </w:pPr>
      <w:r w:rsidRPr="00B52697">
        <w:rPr>
          <w:rFonts w:ascii="Garamond" w:hAnsi="Garamond"/>
          <w:b/>
          <w:bCs/>
          <w:sz w:val="24"/>
          <w:szCs w:val="24"/>
          <w:lang w:val=""/>
        </w:rPr>
        <w:t>O</w:t>
      </w:r>
      <w:r w:rsidR="008E6469" w:rsidRPr="00B52697">
        <w:rPr>
          <w:rFonts w:ascii="Garamond" w:hAnsi="Garamond"/>
          <w:b/>
          <w:bCs/>
          <w:sz w:val="24"/>
          <w:szCs w:val="24"/>
          <w:lang w:val=""/>
        </w:rPr>
        <w:t>DLUKU</w:t>
      </w:r>
    </w:p>
    <w:p w14:paraId="44389C0B" w14:textId="77777777" w:rsidR="00425272" w:rsidRPr="00B52697" w:rsidRDefault="009D056A" w:rsidP="00B52697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"/>
        </w:rPr>
      </w:pPr>
      <w:r w:rsidRPr="00B52697">
        <w:rPr>
          <w:rFonts w:ascii="Garamond" w:hAnsi="Garamond"/>
          <w:b/>
          <w:bCs/>
          <w:sz w:val="24"/>
          <w:szCs w:val="24"/>
          <w:lang w:val=""/>
        </w:rPr>
        <w:t xml:space="preserve">o davanju saglasnosti na </w:t>
      </w:r>
      <w:r w:rsidR="005B0886">
        <w:rPr>
          <w:rFonts w:ascii="Garamond" w:hAnsi="Garamond"/>
          <w:b/>
          <w:bCs/>
          <w:sz w:val="24"/>
          <w:szCs w:val="24"/>
        </w:rPr>
        <w:t>Odluku o utvrđivanju cijene komunalne usluge upravljanja otpadom koju pruža</w:t>
      </w:r>
      <w:r w:rsidRPr="00B52697">
        <w:rPr>
          <w:rFonts w:ascii="Garamond" w:hAnsi="Garamond"/>
          <w:b/>
          <w:bCs/>
          <w:sz w:val="24"/>
          <w:szCs w:val="24"/>
          <w:lang w:val=""/>
        </w:rPr>
        <w:t xml:space="preserve"> DOO „Komunalno/Komunale” Tuzi</w:t>
      </w:r>
    </w:p>
    <w:p w14:paraId="4AC71CA0" w14:textId="77777777" w:rsidR="00AD7265" w:rsidRPr="00B52697" w:rsidRDefault="00AD7265" w:rsidP="00B52697">
      <w:pPr>
        <w:pStyle w:val="NoSpacing"/>
        <w:jc w:val="center"/>
        <w:rPr>
          <w:rFonts w:ascii="Garamond" w:hAnsi="Garamond"/>
          <w:sz w:val="24"/>
          <w:szCs w:val="24"/>
          <w:lang w:val=""/>
        </w:rPr>
      </w:pPr>
    </w:p>
    <w:p w14:paraId="53A1FCAB" w14:textId="77777777" w:rsidR="00AD7265" w:rsidRPr="00B52697" w:rsidRDefault="00AD7265" w:rsidP="00B52697">
      <w:pPr>
        <w:pStyle w:val="NoSpacing"/>
        <w:jc w:val="center"/>
        <w:rPr>
          <w:rFonts w:ascii="Garamond" w:hAnsi="Garamond"/>
          <w:sz w:val="24"/>
          <w:szCs w:val="24"/>
          <w:lang w:val=""/>
        </w:rPr>
      </w:pPr>
    </w:p>
    <w:p w14:paraId="0866FE19" w14:textId="77777777" w:rsidR="00AD7265" w:rsidRPr="00B52697" w:rsidRDefault="009D056A" w:rsidP="00B52697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"/>
        </w:rPr>
      </w:pPr>
      <w:r w:rsidRPr="00B52697">
        <w:rPr>
          <w:rFonts w:ascii="Garamond" w:hAnsi="Garamond"/>
          <w:b/>
          <w:bCs/>
          <w:sz w:val="24"/>
          <w:szCs w:val="24"/>
          <w:lang w:val=""/>
        </w:rPr>
        <w:t>Član 1</w:t>
      </w:r>
    </w:p>
    <w:p w14:paraId="722EAD9E" w14:textId="77777777" w:rsidR="008E6469" w:rsidRPr="00B52697" w:rsidRDefault="009D056A" w:rsidP="00845BB6">
      <w:pPr>
        <w:spacing w:after="200"/>
        <w:ind w:firstLine="720"/>
        <w:jc w:val="both"/>
        <w:rPr>
          <w:rFonts w:ascii="Garamond" w:hAnsi="Garamond"/>
          <w:b/>
          <w:sz w:val="24"/>
          <w:szCs w:val="24"/>
          <w:lang w:val=""/>
        </w:rPr>
      </w:pPr>
      <w:r w:rsidRPr="00B52697">
        <w:rPr>
          <w:rFonts w:ascii="Garamond" w:hAnsi="Garamond"/>
          <w:sz w:val="24"/>
          <w:szCs w:val="24"/>
          <w:lang w:val=""/>
        </w:rPr>
        <w:t>Daje s</w:t>
      </w:r>
      <w:r w:rsidR="005B665C" w:rsidRPr="00B52697">
        <w:rPr>
          <w:rFonts w:ascii="Garamond" w:hAnsi="Garamond"/>
          <w:sz w:val="24"/>
          <w:szCs w:val="24"/>
          <w:lang w:val=""/>
        </w:rPr>
        <w:t>e sag</w:t>
      </w:r>
      <w:r w:rsidRPr="00B52697">
        <w:rPr>
          <w:rFonts w:ascii="Garamond" w:hAnsi="Garamond"/>
          <w:sz w:val="24"/>
          <w:szCs w:val="24"/>
          <w:lang w:val=""/>
        </w:rPr>
        <w:t xml:space="preserve">lasnost na Odluku Odbora direktora DOO </w:t>
      </w:r>
      <w:r w:rsidR="00B67A93" w:rsidRPr="00B52697">
        <w:rPr>
          <w:rFonts w:ascii="Garamond" w:hAnsi="Garamond"/>
          <w:sz w:val="24"/>
          <w:szCs w:val="24"/>
          <w:lang w:val=""/>
        </w:rPr>
        <w:t>„</w:t>
      </w:r>
      <w:r w:rsidRPr="00B52697">
        <w:rPr>
          <w:rFonts w:ascii="Garamond" w:hAnsi="Garamond"/>
          <w:sz w:val="24"/>
          <w:szCs w:val="24"/>
          <w:lang w:val=""/>
        </w:rPr>
        <w:t>Komunalno/Komunale</w:t>
      </w:r>
      <w:r w:rsidR="00425272" w:rsidRPr="00B52697">
        <w:rPr>
          <w:rFonts w:ascii="Garamond" w:hAnsi="Garamond"/>
          <w:sz w:val="24"/>
          <w:szCs w:val="24"/>
          <w:lang w:val=""/>
        </w:rPr>
        <w:t xml:space="preserve">” </w:t>
      </w:r>
      <w:r w:rsidRPr="00B52697">
        <w:rPr>
          <w:rFonts w:ascii="Garamond" w:hAnsi="Garamond"/>
          <w:sz w:val="24"/>
          <w:szCs w:val="24"/>
          <w:lang w:val=""/>
        </w:rPr>
        <w:t xml:space="preserve">Tuzi broj </w:t>
      </w:r>
      <w:r w:rsidR="00830F86" w:rsidRPr="00B52697">
        <w:rPr>
          <w:rFonts w:ascii="Garamond" w:hAnsi="Garamond"/>
          <w:sz w:val="24"/>
          <w:szCs w:val="24"/>
        </w:rPr>
        <w:t>1749/25 od 11.12.2025</w:t>
      </w:r>
      <w:r w:rsidR="005B665C" w:rsidRPr="00B52697">
        <w:rPr>
          <w:rFonts w:ascii="Garamond" w:hAnsi="Garamond"/>
          <w:sz w:val="24"/>
          <w:szCs w:val="24"/>
          <w:lang w:val=""/>
        </w:rPr>
        <w:t xml:space="preserve">. godine, </w:t>
      </w:r>
      <w:r w:rsidRPr="00B52697">
        <w:rPr>
          <w:rFonts w:ascii="Garamond" w:hAnsi="Garamond"/>
          <w:sz w:val="24"/>
          <w:szCs w:val="24"/>
          <w:lang w:val=""/>
        </w:rPr>
        <w:t>koj</w:t>
      </w:r>
      <w:r w:rsidR="005B665C" w:rsidRPr="00B52697">
        <w:rPr>
          <w:rFonts w:ascii="Garamond" w:hAnsi="Garamond"/>
          <w:sz w:val="24"/>
          <w:szCs w:val="24"/>
          <w:lang w:val=""/>
        </w:rPr>
        <w:t>o</w:t>
      </w:r>
      <w:r w:rsidRPr="00B52697">
        <w:rPr>
          <w:rFonts w:ascii="Garamond" w:hAnsi="Garamond"/>
          <w:sz w:val="24"/>
          <w:szCs w:val="24"/>
          <w:lang w:val=""/>
        </w:rPr>
        <w:t xml:space="preserve">m je utvrđen cjenovnik </w:t>
      </w:r>
      <w:r w:rsidR="00830F86" w:rsidRPr="00B52697">
        <w:rPr>
          <w:rFonts w:ascii="Garamond" w:hAnsi="Garamond"/>
          <w:bCs/>
          <w:sz w:val="24"/>
          <w:szCs w:val="24"/>
          <w:lang w:val=""/>
        </w:rPr>
        <w:t xml:space="preserve">komunalne usluge upravljanja otpadom koju pruža DOO </w:t>
      </w:r>
      <w:r w:rsidR="00830F86" w:rsidRPr="00B52697">
        <w:rPr>
          <w:rFonts w:ascii="Garamond" w:hAnsi="Garamond" w:cs="Times New Roman"/>
          <w:bCs/>
          <w:sz w:val="24"/>
          <w:szCs w:val="24"/>
          <w:lang w:val=""/>
        </w:rPr>
        <w:t>„K</w:t>
      </w:r>
      <w:r w:rsidR="00830F86" w:rsidRPr="00B52697">
        <w:rPr>
          <w:rFonts w:ascii="Garamond" w:hAnsi="Garamond"/>
          <w:bCs/>
          <w:sz w:val="24"/>
          <w:szCs w:val="24"/>
          <w:lang w:val=""/>
        </w:rPr>
        <w:t>omunalno/Komunale</w:t>
      </w:r>
      <w:r w:rsidR="00830F86" w:rsidRPr="00B52697">
        <w:rPr>
          <w:rFonts w:ascii="Garamond" w:hAnsi="Garamond" w:cs="Times New Roman"/>
          <w:bCs/>
          <w:sz w:val="24"/>
          <w:szCs w:val="24"/>
          <w:lang w:val=""/>
        </w:rPr>
        <w:t>”</w:t>
      </w:r>
      <w:r w:rsidR="00830F86" w:rsidRPr="00B52697">
        <w:rPr>
          <w:rFonts w:ascii="Garamond" w:hAnsi="Garamond"/>
          <w:bCs/>
          <w:sz w:val="24"/>
          <w:szCs w:val="24"/>
          <w:lang w:val=""/>
        </w:rPr>
        <w:t xml:space="preserve"> Tuzi</w:t>
      </w:r>
      <w:r w:rsidR="008B1640" w:rsidRPr="00B52697">
        <w:rPr>
          <w:rFonts w:ascii="Garamond" w:hAnsi="Garamond"/>
          <w:sz w:val="24"/>
          <w:szCs w:val="24"/>
          <w:lang w:val=""/>
        </w:rPr>
        <w:t>.</w:t>
      </w:r>
    </w:p>
    <w:p w14:paraId="03C76A82" w14:textId="77777777" w:rsidR="008E6469" w:rsidRPr="00B52697" w:rsidRDefault="009D056A" w:rsidP="00845BB6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"/>
        </w:rPr>
      </w:pPr>
      <w:r w:rsidRPr="00B52697">
        <w:rPr>
          <w:rFonts w:ascii="Garamond" w:hAnsi="Garamond"/>
          <w:b/>
          <w:bCs/>
          <w:sz w:val="24"/>
          <w:szCs w:val="24"/>
          <w:lang w:val=""/>
        </w:rPr>
        <w:t>Član 2</w:t>
      </w:r>
    </w:p>
    <w:p w14:paraId="144DA41E" w14:textId="77777777" w:rsidR="004F2113" w:rsidRPr="00B52697" w:rsidRDefault="009D056A" w:rsidP="00B52697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"/>
        </w:rPr>
      </w:pPr>
      <w:r w:rsidRPr="00B52697">
        <w:rPr>
          <w:rFonts w:ascii="Garamond" w:hAnsi="Garamond"/>
          <w:sz w:val="24"/>
          <w:szCs w:val="24"/>
          <w:lang w:val=""/>
        </w:rPr>
        <w:t xml:space="preserve">Stupanjem na snagu ove Odluke, prestaje da važi Odluka </w:t>
      </w:r>
      <w:r w:rsidR="001D1268" w:rsidRPr="00B52697">
        <w:rPr>
          <w:rFonts w:ascii="Garamond" w:hAnsi="Garamond" w:cs="Calibri"/>
          <w:sz w:val="24"/>
          <w:szCs w:val="24"/>
          <w:lang w:val="sr-Latn-BA"/>
        </w:rPr>
        <w:t xml:space="preserve">o davanju saglasnosti na Cjenovnik usluga za sakupljanje i odvoz komunalnog otpada </w:t>
      </w:r>
      <w:r w:rsidR="00845BB6">
        <w:rPr>
          <w:rFonts w:ascii="Garamond" w:hAnsi="Garamond" w:cs="Calibri"/>
          <w:sz w:val="24"/>
          <w:szCs w:val="24"/>
          <w:lang w:val="sr-Latn-BA"/>
        </w:rPr>
        <w:t>DOO</w:t>
      </w:r>
      <w:r w:rsidR="001D1268" w:rsidRPr="00B52697">
        <w:rPr>
          <w:rFonts w:ascii="Garamond" w:hAnsi="Garamond" w:cs="Calibri"/>
          <w:sz w:val="24"/>
          <w:szCs w:val="24"/>
          <w:lang w:val="sr-Latn-BA"/>
        </w:rPr>
        <w:t xml:space="preserve"> </w:t>
      </w:r>
      <w:r w:rsidR="00845BB6" w:rsidRPr="00B52697">
        <w:rPr>
          <w:rFonts w:ascii="Garamond" w:hAnsi="Garamond"/>
          <w:sz w:val="24"/>
          <w:szCs w:val="24"/>
          <w:lang w:val=""/>
        </w:rPr>
        <w:t>„Komunalno/Komunale”</w:t>
      </w:r>
      <w:r w:rsidR="001D1268" w:rsidRPr="00B52697">
        <w:rPr>
          <w:rFonts w:ascii="Garamond" w:hAnsi="Garamond" w:cs="Calibri"/>
          <w:sz w:val="24"/>
          <w:szCs w:val="24"/>
          <w:lang w:val="sr-Latn-BA"/>
        </w:rPr>
        <w:t xml:space="preserve"> Tuzi</w:t>
      </w:r>
      <w:r w:rsidR="00581897" w:rsidRPr="00B52697">
        <w:rPr>
          <w:rFonts w:ascii="Garamond" w:hAnsi="Garamond"/>
          <w:sz w:val="24"/>
          <w:szCs w:val="24"/>
          <w:lang w:val=""/>
        </w:rPr>
        <w:t xml:space="preserve"> („Službeni list Crne Gore - opštinski propisi”, br. </w:t>
      </w:r>
      <w:r w:rsidR="001D1268" w:rsidRPr="00B52697">
        <w:rPr>
          <w:rFonts w:ascii="Garamond" w:hAnsi="Garamond"/>
          <w:sz w:val="24"/>
          <w:szCs w:val="24"/>
        </w:rPr>
        <w:t>15/22</w:t>
      </w:r>
      <w:r w:rsidR="00581897" w:rsidRPr="00B52697">
        <w:rPr>
          <w:rFonts w:ascii="Garamond" w:hAnsi="Garamond"/>
          <w:sz w:val="24"/>
          <w:szCs w:val="24"/>
          <w:lang w:val=""/>
        </w:rPr>
        <w:t>)</w:t>
      </w:r>
      <w:r w:rsidR="009E702F" w:rsidRPr="00B52697">
        <w:rPr>
          <w:rFonts w:ascii="Garamond" w:hAnsi="Garamond"/>
          <w:sz w:val="24"/>
          <w:szCs w:val="24"/>
          <w:lang w:val=""/>
        </w:rPr>
        <w:t>.</w:t>
      </w:r>
    </w:p>
    <w:p w14:paraId="019DD0CB" w14:textId="77777777" w:rsidR="00581897" w:rsidRDefault="00581897" w:rsidP="00B52697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"/>
        </w:rPr>
      </w:pPr>
    </w:p>
    <w:p w14:paraId="1E5FB093" w14:textId="77777777" w:rsidR="00472520" w:rsidRPr="00815124" w:rsidRDefault="009D056A" w:rsidP="00472520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A923C8">
        <w:rPr>
          <w:rFonts w:ascii="Garamond" w:hAnsi="Garamond" w:cs="Times New Roman"/>
          <w:b/>
          <w:sz w:val="24"/>
          <w:szCs w:val="24"/>
          <w:lang w:val=""/>
        </w:rPr>
        <w:t xml:space="preserve">Član </w:t>
      </w:r>
      <w:r>
        <w:rPr>
          <w:rFonts w:ascii="Garamond" w:hAnsi="Garamond" w:cs="Times New Roman"/>
          <w:b/>
          <w:sz w:val="24"/>
          <w:szCs w:val="24"/>
        </w:rPr>
        <w:t>3</w:t>
      </w:r>
    </w:p>
    <w:p w14:paraId="5805AD0D" w14:textId="77777777" w:rsidR="00472520" w:rsidRDefault="009D056A" w:rsidP="00B52697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Sastavni dio ove Odluke je Odluka o utvrđivanju cijene komunalne usluge upr</w:t>
      </w:r>
      <w:r>
        <w:rPr>
          <w:rFonts w:ascii="Garamond" w:hAnsi="Garamond"/>
          <w:sz w:val="24"/>
          <w:szCs w:val="24"/>
        </w:rPr>
        <w:t>avljanja otpadom koju pruža DOO “ K</w:t>
      </w:r>
      <w:r w:rsidR="00FE610D">
        <w:rPr>
          <w:rFonts w:ascii="Garamond" w:hAnsi="Garamond"/>
          <w:sz w:val="24"/>
          <w:szCs w:val="24"/>
        </w:rPr>
        <w:t>omunalno</w:t>
      </w:r>
      <w:r>
        <w:rPr>
          <w:rFonts w:ascii="Garamond" w:hAnsi="Garamond"/>
          <w:sz w:val="24"/>
          <w:szCs w:val="24"/>
        </w:rPr>
        <w:t>/ K</w:t>
      </w:r>
      <w:r w:rsidR="00FE610D">
        <w:rPr>
          <w:rFonts w:ascii="Garamond" w:hAnsi="Garamond"/>
          <w:sz w:val="24"/>
          <w:szCs w:val="24"/>
        </w:rPr>
        <w:t>omunale</w:t>
      </w:r>
      <w:r>
        <w:rPr>
          <w:rFonts w:ascii="Garamond" w:hAnsi="Garamond"/>
          <w:sz w:val="24"/>
          <w:szCs w:val="24"/>
        </w:rPr>
        <w:t xml:space="preserve"> “ Tuzi.</w:t>
      </w:r>
    </w:p>
    <w:p w14:paraId="6CCCB329" w14:textId="77777777" w:rsidR="00472520" w:rsidRPr="00472520" w:rsidRDefault="00472520" w:rsidP="00B52697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</w:p>
    <w:p w14:paraId="04020F8E" w14:textId="77777777" w:rsidR="00581897" w:rsidRPr="00B52697" w:rsidRDefault="009D056A" w:rsidP="00845BB6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B52697">
        <w:rPr>
          <w:rFonts w:ascii="Garamond" w:hAnsi="Garamond"/>
          <w:b/>
          <w:bCs/>
          <w:sz w:val="24"/>
          <w:szCs w:val="24"/>
          <w:lang w:val=""/>
        </w:rPr>
        <w:t xml:space="preserve">Član </w:t>
      </w:r>
      <w:r w:rsidR="00472520">
        <w:rPr>
          <w:rFonts w:ascii="Garamond" w:hAnsi="Garamond"/>
          <w:b/>
          <w:bCs/>
          <w:sz w:val="24"/>
          <w:szCs w:val="24"/>
        </w:rPr>
        <w:t>4</w:t>
      </w:r>
    </w:p>
    <w:p w14:paraId="5E1B5E2D" w14:textId="77777777" w:rsidR="00F11C26" w:rsidRPr="00B52697" w:rsidRDefault="009D056A" w:rsidP="00B52697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"/>
        </w:rPr>
      </w:pPr>
      <w:r w:rsidRPr="00B52697">
        <w:rPr>
          <w:rFonts w:ascii="Garamond" w:hAnsi="Garamond"/>
          <w:sz w:val="24"/>
          <w:szCs w:val="24"/>
          <w:lang w:val=""/>
        </w:rPr>
        <w:t xml:space="preserve">Ova odluka stupa na snagu </w:t>
      </w:r>
      <w:r w:rsidR="009946A4">
        <w:rPr>
          <w:rFonts w:ascii="Garamond" w:hAnsi="Garamond"/>
          <w:sz w:val="24"/>
          <w:szCs w:val="24"/>
          <w:lang w:val=""/>
        </w:rPr>
        <w:t xml:space="preserve">danom </w:t>
      </w:r>
      <w:r w:rsidR="005D569C">
        <w:rPr>
          <w:rFonts w:ascii="Garamond" w:hAnsi="Garamond"/>
          <w:sz w:val="24"/>
          <w:szCs w:val="24"/>
          <w:lang w:val=""/>
        </w:rPr>
        <w:t>objavljivanja</w:t>
      </w:r>
      <w:r w:rsidR="009946A4">
        <w:rPr>
          <w:rFonts w:ascii="Garamond" w:hAnsi="Garamond"/>
          <w:sz w:val="24"/>
          <w:szCs w:val="24"/>
          <w:lang w:val=""/>
        </w:rPr>
        <w:t xml:space="preserve"> </w:t>
      </w:r>
      <w:r w:rsidRPr="00B52697">
        <w:rPr>
          <w:rFonts w:ascii="Garamond" w:hAnsi="Garamond"/>
          <w:sz w:val="24"/>
          <w:szCs w:val="24"/>
          <w:lang w:val=""/>
        </w:rPr>
        <w:t>u „Službenom listu Crne Gore -</w:t>
      </w:r>
      <w:r w:rsidR="005D569C">
        <w:rPr>
          <w:rFonts w:ascii="Garamond" w:hAnsi="Garamond"/>
          <w:sz w:val="24"/>
          <w:szCs w:val="24"/>
          <w:lang w:val=""/>
        </w:rPr>
        <w:t xml:space="preserve"> </w:t>
      </w:r>
      <w:r w:rsidRPr="00B52697">
        <w:rPr>
          <w:rFonts w:ascii="Garamond" w:hAnsi="Garamond"/>
          <w:sz w:val="24"/>
          <w:szCs w:val="24"/>
          <w:lang w:val=""/>
        </w:rPr>
        <w:t>opštinski propisi”</w:t>
      </w:r>
      <w:r w:rsidR="009946A4">
        <w:rPr>
          <w:rFonts w:ascii="Garamond" w:hAnsi="Garamond"/>
          <w:sz w:val="24"/>
          <w:szCs w:val="24"/>
          <w:lang w:val=""/>
        </w:rPr>
        <w:t xml:space="preserve"> a primjenjivaće se od 01.01.2026. godine.</w:t>
      </w:r>
    </w:p>
    <w:p w14:paraId="5AF8C8E6" w14:textId="77777777" w:rsidR="00F11C26" w:rsidRPr="00B52697" w:rsidRDefault="00F11C26" w:rsidP="00B52697">
      <w:pPr>
        <w:spacing w:after="0"/>
        <w:jc w:val="both"/>
        <w:rPr>
          <w:rFonts w:ascii="Garamond" w:hAnsi="Garamond" w:cs="Times New Roman"/>
          <w:sz w:val="24"/>
          <w:szCs w:val="24"/>
          <w:lang w:val=""/>
        </w:rPr>
      </w:pPr>
    </w:p>
    <w:p w14:paraId="1540169E" w14:textId="77777777" w:rsidR="00F11C26" w:rsidRPr="00B52697" w:rsidRDefault="00F11C26" w:rsidP="00B52697">
      <w:pPr>
        <w:spacing w:after="0"/>
        <w:jc w:val="both"/>
        <w:rPr>
          <w:rFonts w:ascii="Garamond" w:hAnsi="Garamond" w:cs="Times New Roman"/>
          <w:sz w:val="24"/>
          <w:szCs w:val="24"/>
          <w:lang w:val=""/>
        </w:rPr>
      </w:pPr>
    </w:p>
    <w:p w14:paraId="56B076ED" w14:textId="77777777" w:rsidR="00F11C26" w:rsidRPr="00B52697" w:rsidRDefault="00F11C26" w:rsidP="00B52697">
      <w:pPr>
        <w:spacing w:after="0"/>
        <w:jc w:val="both"/>
        <w:rPr>
          <w:rFonts w:ascii="Garamond" w:hAnsi="Garamond" w:cs="Times New Roman"/>
          <w:sz w:val="24"/>
          <w:szCs w:val="24"/>
          <w:lang w:val=""/>
        </w:rPr>
      </w:pPr>
    </w:p>
    <w:p w14:paraId="4ACF3F88" w14:textId="77777777" w:rsidR="00F11C26" w:rsidRPr="00B52697" w:rsidRDefault="009D056A" w:rsidP="00B52697">
      <w:pPr>
        <w:pStyle w:val="NoSpacing"/>
        <w:jc w:val="both"/>
        <w:rPr>
          <w:rFonts w:ascii="Garamond" w:hAnsi="Garamond" w:cs="Tahoma"/>
          <w:sz w:val="24"/>
          <w:szCs w:val="24"/>
          <w:lang w:val="sr-Latn-CS"/>
        </w:rPr>
      </w:pPr>
      <w:r w:rsidRPr="00B52697">
        <w:rPr>
          <w:rFonts w:ascii="Garamond" w:hAnsi="Garamond" w:cs="Tahoma"/>
          <w:sz w:val="24"/>
          <w:szCs w:val="24"/>
          <w:lang w:val="sr-Cyrl-CS"/>
        </w:rPr>
        <w:t>Broj: 0</w:t>
      </w:r>
      <w:r w:rsidRPr="00B52697">
        <w:rPr>
          <w:rFonts w:ascii="Garamond" w:hAnsi="Garamond" w:cs="Tahoma"/>
          <w:sz w:val="24"/>
          <w:szCs w:val="24"/>
          <w:lang w:val="sr-Latn-CS"/>
        </w:rPr>
        <w:t>2-016/</w:t>
      </w:r>
      <w:r w:rsidR="009946A4">
        <w:rPr>
          <w:rFonts w:ascii="Garamond" w:hAnsi="Garamond" w:cs="Tahoma"/>
          <w:sz w:val="24"/>
          <w:szCs w:val="24"/>
          <w:lang w:val="sr-Latn-CS"/>
        </w:rPr>
        <w:t>25</w:t>
      </w:r>
      <w:r w:rsidRPr="00B52697">
        <w:rPr>
          <w:rFonts w:ascii="Garamond" w:hAnsi="Garamond" w:cs="Tahoma"/>
          <w:sz w:val="24"/>
          <w:szCs w:val="24"/>
          <w:lang w:val="sr-Latn-CS"/>
        </w:rPr>
        <w:t>-</w:t>
      </w:r>
      <w:r w:rsidR="004641B4">
        <w:rPr>
          <w:rFonts w:ascii="Garamond" w:hAnsi="Garamond" w:cs="Tahoma"/>
          <w:sz w:val="24"/>
          <w:szCs w:val="24"/>
          <w:lang w:val="sr-Latn-CS"/>
        </w:rPr>
        <w:t>9205/1</w:t>
      </w:r>
    </w:p>
    <w:p w14:paraId="0BC531A8" w14:textId="77777777" w:rsidR="00F11C26" w:rsidRPr="00B52697" w:rsidRDefault="009D056A" w:rsidP="00B52697">
      <w:pPr>
        <w:pStyle w:val="NoSpacing"/>
        <w:jc w:val="both"/>
        <w:rPr>
          <w:rFonts w:ascii="Garamond" w:hAnsi="Garamond" w:cs="Tahoma"/>
          <w:sz w:val="24"/>
          <w:szCs w:val="24"/>
          <w:lang w:val="sr-Cyrl-CS"/>
        </w:rPr>
      </w:pPr>
      <w:r w:rsidRPr="00B52697">
        <w:rPr>
          <w:rFonts w:ascii="Garamond" w:hAnsi="Garamond" w:cs="Tahoma"/>
          <w:sz w:val="24"/>
          <w:szCs w:val="24"/>
        </w:rPr>
        <w:t>Tuzi</w:t>
      </w:r>
      <w:r w:rsidRPr="00B52697">
        <w:rPr>
          <w:rFonts w:ascii="Garamond" w:hAnsi="Garamond" w:cs="Tahoma"/>
          <w:sz w:val="24"/>
          <w:szCs w:val="24"/>
          <w:lang w:val="sr-Cyrl-CS"/>
        </w:rPr>
        <w:t xml:space="preserve">, </w:t>
      </w:r>
      <w:r w:rsidR="004641B4">
        <w:rPr>
          <w:rFonts w:ascii="Garamond" w:hAnsi="Garamond" w:cs="Tahoma"/>
          <w:sz w:val="24"/>
          <w:szCs w:val="24"/>
        </w:rPr>
        <w:t>22.12</w:t>
      </w:r>
      <w:r w:rsidRPr="00B52697">
        <w:rPr>
          <w:rFonts w:ascii="Garamond" w:hAnsi="Garamond" w:cs="Tahoma"/>
          <w:sz w:val="24"/>
          <w:szCs w:val="24"/>
        </w:rPr>
        <w:t>.202</w:t>
      </w:r>
      <w:r w:rsidR="009946A4">
        <w:rPr>
          <w:rFonts w:ascii="Garamond" w:hAnsi="Garamond" w:cs="Tahoma"/>
          <w:sz w:val="24"/>
          <w:szCs w:val="24"/>
        </w:rPr>
        <w:t>5</w:t>
      </w:r>
      <w:r w:rsidRPr="00B52697">
        <w:rPr>
          <w:rFonts w:ascii="Garamond" w:hAnsi="Garamond" w:cs="Tahoma"/>
          <w:sz w:val="24"/>
          <w:szCs w:val="24"/>
          <w:lang w:val="sr-Latn-CS"/>
        </w:rPr>
        <w:t xml:space="preserve"> </w:t>
      </w:r>
      <w:r w:rsidRPr="00B52697">
        <w:rPr>
          <w:rFonts w:ascii="Garamond" w:hAnsi="Garamond" w:cs="Tahoma"/>
          <w:sz w:val="24"/>
          <w:szCs w:val="24"/>
          <w:lang w:val="sr-Cyrl-CS"/>
        </w:rPr>
        <w:t>godine</w:t>
      </w:r>
    </w:p>
    <w:p w14:paraId="270EA711" w14:textId="77777777" w:rsidR="00F11C26" w:rsidRPr="00B52697" w:rsidRDefault="00F11C26" w:rsidP="00B52697">
      <w:pPr>
        <w:jc w:val="both"/>
        <w:rPr>
          <w:rFonts w:ascii="Garamond" w:hAnsi="Garamond"/>
          <w:b/>
          <w:sz w:val="24"/>
          <w:szCs w:val="24"/>
        </w:rPr>
      </w:pPr>
    </w:p>
    <w:p w14:paraId="782BF104" w14:textId="77777777" w:rsidR="00F11C26" w:rsidRPr="00B52697" w:rsidRDefault="00F11C26" w:rsidP="00B52697">
      <w:pPr>
        <w:jc w:val="both"/>
        <w:rPr>
          <w:rFonts w:ascii="Garamond" w:hAnsi="Garamond"/>
          <w:b/>
          <w:sz w:val="24"/>
          <w:szCs w:val="24"/>
        </w:rPr>
      </w:pPr>
    </w:p>
    <w:p w14:paraId="48CA2F59" w14:textId="77777777" w:rsidR="00F11C26" w:rsidRPr="00B52697" w:rsidRDefault="00F11C26" w:rsidP="00B52697">
      <w:pPr>
        <w:pStyle w:val="NoSpacing"/>
        <w:jc w:val="both"/>
        <w:rPr>
          <w:rFonts w:ascii="Garamond" w:hAnsi="Garamond" w:cs="Tahoma"/>
          <w:b/>
          <w:bCs/>
          <w:sz w:val="24"/>
          <w:szCs w:val="24"/>
          <w:lang w:val="sr-Latn-CS"/>
        </w:rPr>
      </w:pPr>
    </w:p>
    <w:p w14:paraId="0F873DC8" w14:textId="77777777" w:rsidR="00F11C26" w:rsidRPr="00B52697" w:rsidRDefault="009D056A" w:rsidP="00084D15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  <w:r w:rsidRPr="00B52697">
        <w:rPr>
          <w:rFonts w:ascii="Garamond" w:hAnsi="Garamond" w:cs="Tahoma"/>
          <w:b/>
          <w:bCs/>
          <w:sz w:val="24"/>
          <w:szCs w:val="24"/>
          <w:lang w:val="sr-Latn-CS"/>
        </w:rPr>
        <w:t>SKUPŠTINA OPŠTINE TUZI</w:t>
      </w:r>
    </w:p>
    <w:p w14:paraId="5259C9F8" w14:textId="77777777" w:rsidR="00F11C26" w:rsidRPr="00B52697" w:rsidRDefault="009D056A" w:rsidP="00084D15">
      <w:pPr>
        <w:pStyle w:val="NoSpacing"/>
        <w:jc w:val="center"/>
        <w:rPr>
          <w:rFonts w:ascii="Garamond" w:hAnsi="Garamond" w:cs="Tahoma"/>
          <w:b/>
          <w:bCs/>
          <w:sz w:val="24"/>
          <w:szCs w:val="24"/>
          <w:lang w:val="sr-Latn-CS"/>
        </w:rPr>
      </w:pPr>
      <w:r w:rsidRPr="00B52697">
        <w:rPr>
          <w:rFonts w:ascii="Garamond" w:hAnsi="Garamond" w:cs="Tahoma"/>
          <w:b/>
          <w:bCs/>
          <w:sz w:val="24"/>
          <w:szCs w:val="24"/>
          <w:lang w:val="sr-Latn-CS"/>
        </w:rPr>
        <w:t>PREDSJEDNIK,</w:t>
      </w:r>
    </w:p>
    <w:p w14:paraId="59A5FE4B" w14:textId="77777777" w:rsidR="0068744A" w:rsidRPr="00B52697" w:rsidRDefault="009D056A" w:rsidP="00084D15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"/>
        </w:rPr>
      </w:pPr>
      <w:r w:rsidRPr="00B52697">
        <w:rPr>
          <w:rFonts w:ascii="Garamond" w:hAnsi="Garamond" w:cs="Tahoma"/>
          <w:b/>
          <w:bCs/>
          <w:sz w:val="24"/>
          <w:szCs w:val="24"/>
          <w:lang w:val="sr-Latn-CS"/>
        </w:rPr>
        <w:t>Fadil Kajoshaj</w:t>
      </w:r>
    </w:p>
    <w:p w14:paraId="50195CDC" w14:textId="77777777" w:rsidR="0068744A" w:rsidRPr="00B52697" w:rsidRDefault="0068744A" w:rsidP="004641B4">
      <w:pPr>
        <w:rPr>
          <w:rFonts w:ascii="Garamond" w:hAnsi="Garamond"/>
          <w:b/>
          <w:bCs/>
          <w:sz w:val="24"/>
          <w:szCs w:val="24"/>
          <w:lang w:val=""/>
        </w:rPr>
      </w:pPr>
    </w:p>
    <w:p w14:paraId="780C470D" w14:textId="77777777" w:rsidR="008E6469" w:rsidRPr="00B52697" w:rsidRDefault="008E6469" w:rsidP="00B52697">
      <w:pPr>
        <w:pStyle w:val="NoSpacing"/>
        <w:jc w:val="both"/>
        <w:rPr>
          <w:rFonts w:ascii="Garamond" w:hAnsi="Garamond"/>
          <w:sz w:val="24"/>
          <w:szCs w:val="24"/>
          <w:lang w:val=""/>
        </w:rPr>
        <w:sectPr w:rsidR="008E6469" w:rsidRPr="00B52697" w:rsidSect="009E702F">
          <w:pgSz w:w="12240" w:h="15840"/>
          <w:pgMar w:top="1440" w:right="1440" w:bottom="851" w:left="1440" w:header="720" w:footer="720" w:gutter="0"/>
          <w:cols w:space="720"/>
          <w:docGrid w:linePitch="360"/>
        </w:sectPr>
      </w:pPr>
    </w:p>
    <w:p w14:paraId="0A0EA37B" w14:textId="77777777" w:rsidR="00395D65" w:rsidRPr="008E2873" w:rsidRDefault="009D056A" w:rsidP="008E2873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28"/>
          <w:lang w:val="hr-H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BD384" wp14:editId="5C3E497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484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5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8240" from="0,-0.05pt" to="507.75pt,-0.05pt" fillcolor="this" stroked="t" strokecolor="black" strokeweight="0.5pt">
                <w10:wrap anchorx="margin"/>
              </v:line>
            </w:pict>
          </mc:Fallback>
        </mc:AlternateContent>
      </w:r>
    </w:p>
    <w:p w14:paraId="6EA24C92" w14:textId="77777777" w:rsidR="00395D65" w:rsidRPr="00395D65" w:rsidRDefault="009D056A" w:rsidP="00395D6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          Na osnovu člana 53 stav 1 i člana 54 stav 1, Zakona o komunalnim djelatnostima („Sl.list Crne Gore“ br.055/16, 074/16, 002/18, 066/19, 140/22 i 84/24), Uredbe o bližim elementima i metodologiji za određivanje cijena komunalnih usluga („Sl.list C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rne Gore“ br. 055/20, 117/22 i 105/25),  Ugovora o povjeravanju obavljanja komunalnih djelatnosti i korišćenju komunalne infrastrukture i drugih sredstava u svojini opštine Tuzi</w:t>
      </w:r>
      <w:r w:rsidR="007779A3" w:rsidRPr="004F13C3">
        <w:rPr>
          <w:rFonts w:ascii="Times New Roman" w:eastAsia="Calibri" w:hAnsi="Times New Roman" w:cs="Times New Roman"/>
          <w:sz w:val="24"/>
          <w:szCs w:val="24"/>
          <w:lang w:val=""/>
        </w:rPr>
        <w:t xml:space="preserve"> naš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br.</w:t>
      </w:r>
      <w:r w:rsidR="007779A3" w:rsidRPr="004F13C3">
        <w:rPr>
          <w:rFonts w:ascii="Times New Roman" w:eastAsia="Calibri" w:hAnsi="Times New Roman" w:cs="Times New Roman"/>
          <w:sz w:val="24"/>
          <w:szCs w:val="24"/>
          <w:lang w:val=""/>
        </w:rPr>
        <w:t xml:space="preserve"> 389/20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 ("Službeni list Crne Gore - opštinski propisi", br.020/20</w:t>
      </w:r>
      <w:r w:rsidR="007779A3" w:rsidRPr="004F13C3">
        <w:rPr>
          <w:rFonts w:ascii="Times New Roman" w:eastAsia="Calibri" w:hAnsi="Times New Roman" w:cs="Times New Roman"/>
          <w:sz w:val="24"/>
          <w:szCs w:val="24"/>
          <w:lang w:val=""/>
        </w:rPr>
        <w:t xml:space="preserve"> ), Aneks I</w:t>
      </w:r>
      <w:r w:rsidR="007779A3"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Ugovora o povjeravanju obavljanja komunalnih djelatnosti i korišćenju komunalne infrastrukture i drugih sredstava u svojini opštine Tuzi</w:t>
      </w:r>
      <w:r w:rsidR="007779A3" w:rsidRPr="004F13C3">
        <w:rPr>
          <w:rFonts w:ascii="Times New Roman" w:eastAsia="Calibri" w:hAnsi="Times New Roman" w:cs="Times New Roman"/>
          <w:sz w:val="24"/>
          <w:szCs w:val="24"/>
          <w:lang w:val=""/>
        </w:rPr>
        <w:t xml:space="preserve"> naš</w:t>
      </w:r>
      <w:r w:rsidR="007779A3"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br.</w:t>
      </w:r>
      <w:r w:rsidR="007779A3" w:rsidRPr="004F13C3">
        <w:rPr>
          <w:rFonts w:ascii="Times New Roman" w:eastAsia="Calibri" w:hAnsi="Times New Roman" w:cs="Times New Roman"/>
          <w:sz w:val="24"/>
          <w:szCs w:val="24"/>
          <w:lang w:val=""/>
        </w:rPr>
        <w:t xml:space="preserve"> 88/24</w:t>
      </w:r>
      <w:r w:rsidR="007779A3"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 ("Službeni list Crne Gore - opštinski propisi", br.</w:t>
      </w:r>
      <w:r w:rsidR="007779A3" w:rsidRPr="004F13C3">
        <w:rPr>
          <w:rFonts w:ascii="Times New Roman" w:eastAsia="Calibri" w:hAnsi="Times New Roman" w:cs="Times New Roman"/>
          <w:sz w:val="24"/>
          <w:szCs w:val="24"/>
          <w:lang w:val=""/>
        </w:rPr>
        <w:t xml:space="preserve">003/24), 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člana 16. Odluke o osnivanju DOO“Komu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nalno“Tuzi ("Službeni list Crne Gore - opštinski propisi", </w:t>
      </w:r>
      <w:r w:rsidR="00255521" w:rsidRPr="004F13C3">
        <w:rPr>
          <w:rFonts w:ascii="Times New Roman" w:eastAsia="Calibri" w:hAnsi="Times New Roman" w:cs="Times New Roman"/>
          <w:sz w:val="24"/>
          <w:szCs w:val="24"/>
          <w:lang w:val=""/>
        </w:rPr>
        <w:t>br.33/19,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40/21</w:t>
      </w:r>
      <w:r w:rsidR="00255521" w:rsidRPr="004F13C3">
        <w:rPr>
          <w:rFonts w:ascii="Times New Roman" w:eastAsia="Calibri" w:hAnsi="Times New Roman" w:cs="Times New Roman"/>
          <w:sz w:val="24"/>
          <w:szCs w:val="24"/>
          <w:lang w:val=""/>
        </w:rPr>
        <w:t xml:space="preserve"> i 003/24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),  člana </w:t>
      </w:r>
      <w:r w:rsidR="00255521" w:rsidRPr="004F13C3">
        <w:rPr>
          <w:rFonts w:ascii="Times New Roman" w:eastAsia="Calibri" w:hAnsi="Times New Roman" w:cs="Times New Roman"/>
          <w:sz w:val="24"/>
          <w:szCs w:val="24"/>
          <w:lang w:val=""/>
        </w:rPr>
        <w:t>24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Statuta DOO „Komunalno“ Tuzi („Sl.list Crne Gore-Opštinski propisi“ br.</w:t>
      </w:r>
      <w:r w:rsidR="00255521" w:rsidRPr="004F13C3">
        <w:rPr>
          <w:rFonts w:ascii="Times New Roman" w:eastAsia="Calibri" w:hAnsi="Times New Roman" w:cs="Times New Roman"/>
          <w:sz w:val="24"/>
          <w:szCs w:val="24"/>
          <w:lang w:val=""/>
        </w:rPr>
        <w:t>021/24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), Odbor direktora Društva, na sjednici, </w:t>
      </w:r>
      <w:r w:rsidRPr="000863F8">
        <w:rPr>
          <w:rFonts w:ascii="Times New Roman" w:eastAsia="Calibri" w:hAnsi="Times New Roman" w:cs="Times New Roman"/>
          <w:sz w:val="24"/>
          <w:szCs w:val="24"/>
          <w:lang w:val=""/>
        </w:rPr>
        <w:t xml:space="preserve">održanoj </w:t>
      </w:r>
      <w:r w:rsidR="00A35B6C" w:rsidRPr="000863F8">
        <w:rPr>
          <w:rFonts w:ascii="Times New Roman" w:eastAsia="Calibri" w:hAnsi="Times New Roman" w:cs="Times New Roman"/>
          <w:sz w:val="24"/>
          <w:szCs w:val="24"/>
          <w:lang w:val=""/>
        </w:rPr>
        <w:t>11</w:t>
      </w:r>
      <w:r w:rsidR="00595D13" w:rsidRPr="000863F8">
        <w:rPr>
          <w:rFonts w:ascii="Times New Roman" w:eastAsia="Calibri" w:hAnsi="Times New Roman" w:cs="Times New Roman"/>
          <w:sz w:val="24"/>
          <w:szCs w:val="24"/>
          <w:lang w:val=""/>
        </w:rPr>
        <w:t>.12</w:t>
      </w:r>
      <w:r w:rsidRPr="000863F8">
        <w:rPr>
          <w:rFonts w:ascii="Times New Roman" w:eastAsia="Calibri" w:hAnsi="Times New Roman" w:cs="Times New Roman"/>
          <w:sz w:val="24"/>
          <w:szCs w:val="24"/>
          <w:lang w:val=""/>
        </w:rPr>
        <w:t>.2025.godine,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donosi </w:t>
      </w:r>
    </w:p>
    <w:p w14:paraId="6360614B" w14:textId="77777777" w:rsidR="00395D65" w:rsidRPr="00395D65" w:rsidRDefault="009D056A" w:rsidP="00395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O D L U K U </w:t>
      </w:r>
    </w:p>
    <w:p w14:paraId="03815596" w14:textId="77777777" w:rsidR="00395D65" w:rsidRPr="00395D65" w:rsidRDefault="009D056A" w:rsidP="00395D6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493F1A">
        <w:rPr>
          <w:rFonts w:ascii="Times New Roman" w:eastAsia="Calibri" w:hAnsi="Times New Roman" w:cs="Times New Roman"/>
          <w:b/>
          <w:sz w:val="24"/>
          <w:szCs w:val="24"/>
          <w:lang w:val=""/>
        </w:rPr>
        <w:t>O UTVRĐIVANJU CIJENE</w:t>
      </w:r>
      <w:r w:rsidR="004B340C" w:rsidRPr="00493F1A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 KOMUNALNE USLUGE</w:t>
      </w:r>
      <w:r w:rsidRPr="00493F1A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 UPRAVLJANJA OTPADOM </w:t>
      </w:r>
      <w:r w:rsidR="004B340C" w:rsidRPr="00493F1A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KOJU PRUŽA </w:t>
      </w:r>
      <w:r w:rsidRPr="00493F1A">
        <w:rPr>
          <w:rFonts w:ascii="Times New Roman" w:eastAsia="Calibri" w:hAnsi="Times New Roman" w:cs="Times New Roman"/>
          <w:b/>
          <w:sz w:val="24"/>
          <w:szCs w:val="24"/>
          <w:lang w:val=""/>
        </w:rPr>
        <w:t>DOO“KOMUNALNO</w:t>
      </w:r>
      <w:r w:rsidR="008A54B3" w:rsidRPr="00493F1A">
        <w:rPr>
          <w:rFonts w:ascii="Times New Roman" w:eastAsia="Calibri" w:hAnsi="Times New Roman" w:cs="Times New Roman"/>
          <w:b/>
          <w:sz w:val="24"/>
          <w:szCs w:val="24"/>
          <w:lang w:val=""/>
        </w:rPr>
        <w:t>/KOMUNALE</w:t>
      </w:r>
      <w:r w:rsidRPr="00493F1A">
        <w:rPr>
          <w:rFonts w:ascii="Times New Roman" w:eastAsia="Calibri" w:hAnsi="Times New Roman" w:cs="Times New Roman"/>
          <w:b/>
          <w:sz w:val="24"/>
          <w:szCs w:val="24"/>
          <w:lang w:val=""/>
        </w:rPr>
        <w:t>“ TUZI</w:t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   </w:t>
      </w:r>
    </w:p>
    <w:p w14:paraId="13BD1F15" w14:textId="77777777" w:rsidR="00395D65" w:rsidRPr="00395D65" w:rsidRDefault="009D056A" w:rsidP="00395D6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>Član 1.</w:t>
      </w:r>
    </w:p>
    <w:p w14:paraId="595E15F6" w14:textId="77777777" w:rsidR="00395D65" w:rsidRPr="00395D65" w:rsidRDefault="009D056A" w:rsidP="00395D6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         Ovom odlukom, Društvo sa ograničenom odgovornošću „Komunalno</w:t>
      </w:r>
      <w:r w:rsidR="00C645FF" w:rsidRPr="006B7B69">
        <w:rPr>
          <w:rFonts w:ascii="Times New Roman" w:eastAsia="Calibri" w:hAnsi="Times New Roman" w:cs="Times New Roman"/>
          <w:sz w:val="24"/>
          <w:szCs w:val="24"/>
          <w:lang w:val=""/>
        </w:rPr>
        <w:t>/Komunale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“Tuzi (u daljem tekstu „Društvo“), kao vršilac komunalnih djelatnosti, utvrđuje</w:t>
      </w:r>
      <w:r w:rsidR="00EF1510">
        <w:rPr>
          <w:rFonts w:ascii="Times New Roman" w:eastAsia="Calibri" w:hAnsi="Times New Roman" w:cs="Times New Roman"/>
          <w:sz w:val="24"/>
          <w:szCs w:val="24"/>
          <w:lang w:val=""/>
        </w:rPr>
        <w:t xml:space="preserve"> </w:t>
      </w:r>
      <w:r w:rsidR="00EF1510" w:rsidRPr="00493F1A">
        <w:rPr>
          <w:rFonts w:ascii="Times New Roman" w:eastAsia="Calibri" w:hAnsi="Times New Roman" w:cs="Times New Roman"/>
          <w:sz w:val="24"/>
          <w:szCs w:val="24"/>
          <w:lang w:val=""/>
        </w:rPr>
        <w:t>cijen</w:t>
      </w:r>
      <w:r w:rsidR="00F65FAF" w:rsidRPr="00493F1A">
        <w:rPr>
          <w:rFonts w:ascii="Times New Roman" w:eastAsia="Calibri" w:hAnsi="Times New Roman" w:cs="Times New Roman"/>
          <w:sz w:val="24"/>
          <w:szCs w:val="24"/>
          <w:lang w:val=""/>
        </w:rPr>
        <w:t>u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usluge upravljanja komunalnim otpadom (sakupljanje, transport i zbrinjavanje komunalnog otpada), u skladu sa zakonom i Ugovorom o povjeravanju obavljanja komunalnih djelatnosti.</w:t>
      </w:r>
    </w:p>
    <w:p w14:paraId="097D5417" w14:textId="77777777" w:rsidR="00395D65" w:rsidRPr="00493F1A" w:rsidRDefault="009D056A" w:rsidP="00F65F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493F1A">
        <w:rPr>
          <w:rFonts w:ascii="Times New Roman" w:eastAsia="Calibri" w:hAnsi="Times New Roman" w:cs="Times New Roman"/>
          <w:b/>
          <w:sz w:val="24"/>
          <w:szCs w:val="24"/>
          <w:lang w:val=""/>
        </w:rPr>
        <w:t>I. CIJENA USLUGE UPRAVLJANJA KOMUNALNIM OTPADOM</w:t>
      </w:r>
    </w:p>
    <w:p w14:paraId="280FA20A" w14:textId="77777777" w:rsidR="00395D65" w:rsidRPr="00395D65" w:rsidRDefault="009D056A" w:rsidP="00F65FAF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93F1A">
        <w:rPr>
          <w:rFonts w:ascii="Times New Roman" w:eastAsia="Calibri" w:hAnsi="Times New Roman" w:cs="Times New Roman"/>
          <w:b/>
        </w:rPr>
        <w:t>(sakupljanje</w:t>
      </w:r>
      <w:r w:rsidRPr="00493F1A">
        <w:rPr>
          <w:rFonts w:ascii="Times New Roman" w:eastAsia="Calibri" w:hAnsi="Times New Roman" w:cs="Times New Roman"/>
          <w:b/>
        </w:rPr>
        <w:t>, transport i zbrinjavanje komunalnog otpada)</w:t>
      </w:r>
    </w:p>
    <w:p w14:paraId="7AC82F7F" w14:textId="77777777" w:rsidR="00395D65" w:rsidRPr="00395D65" w:rsidRDefault="00395D65" w:rsidP="00395D65">
      <w:pPr>
        <w:spacing w:after="20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6CD3217B" w14:textId="77777777" w:rsidR="00395D65" w:rsidRPr="00395D65" w:rsidRDefault="009D056A" w:rsidP="00395D65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      </w:t>
      </w:r>
    </w:p>
    <w:p w14:paraId="7AB85FBF" w14:textId="77777777" w:rsidR="00395D65" w:rsidRPr="00395D65" w:rsidRDefault="009D056A" w:rsidP="00757B5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>Član 2.</w:t>
      </w:r>
    </w:p>
    <w:p w14:paraId="0E3E0A2A" w14:textId="77777777" w:rsidR="00395D65" w:rsidRPr="00395D65" w:rsidRDefault="009D056A" w:rsidP="00395D6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Obračun komunalne usluge upravljanja otpadom (sakupljanje, odvoz i zbrinjavanje komunalnog otpada), za fizička lica, vršiće se na osnovu površine stambenog prostora, izražena u m2, na način 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kako slijedi:</w:t>
      </w:r>
    </w:p>
    <w:tbl>
      <w:tblPr>
        <w:tblW w:w="9355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255"/>
        <w:gridCol w:w="6570"/>
        <w:gridCol w:w="1530"/>
      </w:tblGrid>
      <w:tr w:rsidR="00D821CB" w14:paraId="64716949" w14:textId="77777777" w:rsidTr="00395D65">
        <w:trPr>
          <w:trHeight w:val="446"/>
          <w:jc w:val="center"/>
        </w:trPr>
        <w:tc>
          <w:tcPr>
            <w:tcW w:w="1255" w:type="dxa"/>
            <w:tcBorders>
              <w:bottom w:val="single" w:sz="4" w:space="0" w:color="7F7F7F"/>
            </w:tcBorders>
            <w:shd w:val="clear" w:color="auto" w:fill="F2F2F2"/>
            <w:hideMark/>
          </w:tcPr>
          <w:p w14:paraId="7D18B6C2" w14:textId="77777777" w:rsidR="00395D65" w:rsidRPr="00395D65" w:rsidRDefault="009D056A" w:rsidP="00395D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Red.</w:t>
            </w:r>
          </w:p>
          <w:p w14:paraId="382837F3" w14:textId="77777777" w:rsidR="00395D65" w:rsidRPr="00395D65" w:rsidRDefault="009D056A" w:rsidP="00395D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broj</w:t>
            </w:r>
          </w:p>
        </w:tc>
        <w:tc>
          <w:tcPr>
            <w:tcW w:w="6570" w:type="dxa"/>
            <w:tcBorders>
              <w:bottom w:val="single" w:sz="4" w:space="0" w:color="7F7F7F"/>
            </w:tcBorders>
            <w:shd w:val="clear" w:color="auto" w:fill="F2F2F2"/>
            <w:hideMark/>
          </w:tcPr>
          <w:p w14:paraId="79F72856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KATEGORIJA KORISNIKA USLUGA</w:t>
            </w:r>
          </w:p>
        </w:tc>
        <w:tc>
          <w:tcPr>
            <w:tcW w:w="1530" w:type="dxa"/>
            <w:shd w:val="clear" w:color="auto" w:fill="F2F2F2"/>
          </w:tcPr>
          <w:p w14:paraId="19D35AE3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Cijena</w:t>
            </w:r>
          </w:p>
          <w:p w14:paraId="5C5282D1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€/m</w:t>
            </w:r>
            <w:r w:rsidRPr="00395D65">
              <w:rPr>
                <w:rFonts w:ascii="Times New Roman" w:eastAsia="Calibri" w:hAnsi="Times New Roman" w:cs="Times New Roman"/>
                <w:b/>
                <w:bCs/>
                <w:vertAlign w:val="superscript"/>
                <w:lang w:val=""/>
              </w:rPr>
              <w:t>2</w:t>
            </w:r>
          </w:p>
        </w:tc>
      </w:tr>
      <w:tr w:rsidR="00D821CB" w14:paraId="6B2898A0" w14:textId="77777777" w:rsidTr="00395D65">
        <w:trPr>
          <w:gridAfter w:val="1"/>
          <w:wAfter w:w="1530" w:type="dxa"/>
          <w:trHeight w:val="276"/>
          <w:jc w:val="center"/>
        </w:trPr>
        <w:tc>
          <w:tcPr>
            <w:tcW w:w="7825" w:type="dxa"/>
            <w:gridSpan w:val="2"/>
            <w:tcBorders>
              <w:left w:val="nil"/>
              <w:right w:val="nil"/>
            </w:tcBorders>
            <w:vAlign w:val="center"/>
          </w:tcPr>
          <w:p w14:paraId="6DE0FBCB" w14:textId="77777777" w:rsidR="00395D65" w:rsidRPr="00395D65" w:rsidRDefault="00395D65" w:rsidP="00395D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"/>
              </w:rPr>
            </w:pPr>
          </w:p>
        </w:tc>
      </w:tr>
      <w:tr w:rsidR="00D821CB" w14:paraId="72E1CA21" w14:textId="77777777" w:rsidTr="00395D65">
        <w:trPr>
          <w:jc w:val="center"/>
        </w:trPr>
        <w:tc>
          <w:tcPr>
            <w:tcW w:w="9355" w:type="dxa"/>
            <w:gridSpan w:val="3"/>
          </w:tcPr>
          <w:p w14:paraId="0F7411F6" w14:textId="77777777" w:rsidR="00395D65" w:rsidRPr="00395D65" w:rsidRDefault="009D056A" w:rsidP="00395D65">
            <w:pPr>
              <w:spacing w:after="200" w:line="276" w:lineRule="auto"/>
              <w:rPr>
                <w:rFonts w:ascii="Times New Roman" w:eastAsia="Calibri" w:hAnsi="Times New Roman" w:cs="Times New Roman"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KORISNICI USLUGA KOJI SPADAJU U KATEGORIJU FIZIČKA LICA</w:t>
            </w:r>
          </w:p>
        </w:tc>
      </w:tr>
      <w:tr w:rsidR="00D821CB" w14:paraId="40990057" w14:textId="77777777" w:rsidTr="00395D65">
        <w:trPr>
          <w:jc w:val="center"/>
        </w:trPr>
        <w:tc>
          <w:tcPr>
            <w:tcW w:w="1255" w:type="dxa"/>
            <w:hideMark/>
          </w:tcPr>
          <w:p w14:paraId="5B1443EE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1.</w:t>
            </w:r>
          </w:p>
        </w:tc>
        <w:tc>
          <w:tcPr>
            <w:tcW w:w="6570" w:type="dxa"/>
            <w:hideMark/>
          </w:tcPr>
          <w:p w14:paraId="337EE9B0" w14:textId="77777777" w:rsidR="00395D65" w:rsidRPr="00395D65" w:rsidRDefault="009D056A" w:rsidP="00395D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 xml:space="preserve">FIZIČKA LICA </w:t>
            </w:r>
          </w:p>
        </w:tc>
        <w:tc>
          <w:tcPr>
            <w:tcW w:w="1530" w:type="dxa"/>
          </w:tcPr>
          <w:p w14:paraId="26D7D1D1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lang w:val=""/>
              </w:rPr>
              <w:t>0,</w:t>
            </w:r>
            <w:r w:rsidR="00DB0D78">
              <w:rPr>
                <w:rFonts w:ascii="Times New Roman" w:eastAsia="Calibri" w:hAnsi="Times New Roman" w:cs="Times New Roman"/>
                <w:lang w:val=""/>
              </w:rPr>
              <w:t>09346</w:t>
            </w:r>
          </w:p>
        </w:tc>
      </w:tr>
    </w:tbl>
    <w:p w14:paraId="48AED309" w14:textId="77777777" w:rsidR="00395D65" w:rsidRPr="00395D65" w:rsidRDefault="00395D65" w:rsidP="00395D65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val="en-GB"/>
        </w:rPr>
      </w:pPr>
    </w:p>
    <w:p w14:paraId="75E2DA68" w14:textId="77777777" w:rsidR="00395D65" w:rsidRPr="00C42067" w:rsidRDefault="009D056A" w:rsidP="00C420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Korekcioni faktor obračuna komunalne usluge za korisnike usluga iz kategorije fizičkih lica je 1, pa je 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shodno tome određena cijena u iznosu od 0,</w:t>
      </w:r>
      <w:r w:rsidR="00E26590">
        <w:rPr>
          <w:rFonts w:ascii="Times New Roman" w:eastAsia="Calibri" w:hAnsi="Times New Roman" w:cs="Times New Roman"/>
          <w:sz w:val="24"/>
          <w:szCs w:val="24"/>
          <w:lang w:val=""/>
        </w:rPr>
        <w:t>09346</w:t>
      </w:r>
      <w:r w:rsidR="00A64AFB">
        <w:rPr>
          <w:rFonts w:ascii="Times New Roman" w:eastAsia="Calibri" w:hAnsi="Times New Roman" w:cs="Times New Roman"/>
          <w:sz w:val="24"/>
          <w:szCs w:val="24"/>
          <w:lang w:val=""/>
        </w:rPr>
        <w:t xml:space="preserve"> €/m2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.</w:t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                                                           </w:t>
      </w:r>
    </w:p>
    <w:p w14:paraId="1AE1B554" w14:textId="77777777" w:rsidR="00395D65" w:rsidRPr="00395D65" w:rsidRDefault="009D056A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lastRenderedPageBreak/>
        <w:t>Član 3.</w:t>
      </w:r>
    </w:p>
    <w:p w14:paraId="5FF62092" w14:textId="77777777" w:rsidR="00395D65" w:rsidRPr="00395D65" w:rsidRDefault="009D056A" w:rsidP="00395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Obračun komunalne usluge upravljanja otpadom (sakupljanje, odvoz i zbrinjavanje komunalnog otpada), za korisnike usluge koji ne spadaju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 u kategoriju “fizička lica”, vršiće se na osnovu površine poslovnog prostora ili prostora u kojem se obavlja poslovna djelatnost, izražena u m2, na način kako slijedi:</w:t>
      </w:r>
    </w:p>
    <w:p w14:paraId="004C5EB4" w14:textId="77777777" w:rsidR="00395D65" w:rsidRPr="00395D65" w:rsidRDefault="00395D65" w:rsidP="00395D65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9355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255"/>
        <w:gridCol w:w="6570"/>
        <w:gridCol w:w="1530"/>
      </w:tblGrid>
      <w:tr w:rsidR="00D821CB" w14:paraId="7BC16A32" w14:textId="77777777" w:rsidTr="00395D65">
        <w:trPr>
          <w:trHeight w:val="446"/>
          <w:jc w:val="center"/>
        </w:trPr>
        <w:tc>
          <w:tcPr>
            <w:tcW w:w="1255" w:type="dxa"/>
            <w:tcBorders>
              <w:bottom w:val="single" w:sz="4" w:space="0" w:color="7F7F7F"/>
            </w:tcBorders>
            <w:shd w:val="clear" w:color="auto" w:fill="F2F2F2"/>
            <w:hideMark/>
          </w:tcPr>
          <w:p w14:paraId="0CD9D4D1" w14:textId="77777777" w:rsidR="00395D65" w:rsidRPr="00395D65" w:rsidRDefault="009D056A" w:rsidP="00395D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Red.</w:t>
            </w:r>
          </w:p>
          <w:p w14:paraId="1BC61CF6" w14:textId="77777777" w:rsidR="00395D65" w:rsidRPr="00395D65" w:rsidRDefault="009D056A" w:rsidP="00395D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broj</w:t>
            </w:r>
          </w:p>
        </w:tc>
        <w:tc>
          <w:tcPr>
            <w:tcW w:w="6570" w:type="dxa"/>
            <w:tcBorders>
              <w:bottom w:val="single" w:sz="4" w:space="0" w:color="7F7F7F"/>
            </w:tcBorders>
            <w:shd w:val="clear" w:color="auto" w:fill="F2F2F2"/>
            <w:hideMark/>
          </w:tcPr>
          <w:p w14:paraId="1A51D2B7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KATEGORIJA KORISNIKA USLUGA</w:t>
            </w:r>
          </w:p>
        </w:tc>
        <w:tc>
          <w:tcPr>
            <w:tcW w:w="1530" w:type="dxa"/>
            <w:shd w:val="clear" w:color="auto" w:fill="F2F2F2"/>
          </w:tcPr>
          <w:p w14:paraId="500D7A67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Cijena</w:t>
            </w:r>
          </w:p>
          <w:p w14:paraId="301DA14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"/>
              </w:rPr>
            </w:pPr>
            <w:r w:rsidRPr="00395D65">
              <w:rPr>
                <w:rFonts w:ascii="Times New Roman" w:eastAsia="Calibri" w:hAnsi="Times New Roman" w:cs="Times New Roman"/>
                <w:b/>
                <w:bCs/>
                <w:lang w:val=""/>
              </w:rPr>
              <w:t>€/m</w:t>
            </w:r>
            <w:r w:rsidRPr="00395D65">
              <w:rPr>
                <w:rFonts w:ascii="Times New Roman" w:eastAsia="Calibri" w:hAnsi="Times New Roman" w:cs="Times New Roman"/>
                <w:b/>
                <w:bCs/>
                <w:vertAlign w:val="superscript"/>
                <w:lang w:val=""/>
              </w:rPr>
              <w:t>2</w:t>
            </w:r>
          </w:p>
        </w:tc>
      </w:tr>
    </w:tbl>
    <w:p w14:paraId="461409F5" w14:textId="77777777" w:rsidR="00395D65" w:rsidRPr="00395D65" w:rsidRDefault="00395D65" w:rsidP="00395D6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9375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728"/>
        <w:gridCol w:w="972"/>
        <w:gridCol w:w="1379"/>
        <w:gridCol w:w="1172"/>
        <w:gridCol w:w="1089"/>
      </w:tblGrid>
      <w:tr w:rsidR="00D821CB" w14:paraId="45CB9F6C" w14:textId="77777777" w:rsidTr="00395D65">
        <w:trPr>
          <w:jc w:val="center"/>
        </w:trPr>
        <w:tc>
          <w:tcPr>
            <w:tcW w:w="573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9CED758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 xml:space="preserve">KORISNICI USLUGA KOJI NE </w:t>
            </w: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SPADAJU U KATEGORIJU FIZIČKA LICA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280E8D" w14:textId="77777777" w:rsidR="00395D65" w:rsidRPr="00395D65" w:rsidRDefault="00395D65" w:rsidP="00395D65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C33148" w14:textId="77777777" w:rsidR="00395D65" w:rsidRPr="00395D65" w:rsidRDefault="00395D65" w:rsidP="00395D65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466CE0" w14:textId="77777777" w:rsidR="00395D65" w:rsidRPr="00395D65" w:rsidRDefault="00395D65" w:rsidP="00395D65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</w:p>
        </w:tc>
      </w:tr>
      <w:tr w:rsidR="00D821CB" w14:paraId="79AFECC1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FAFC81B" w14:textId="77777777" w:rsidR="00395D65" w:rsidRPr="00395D65" w:rsidRDefault="009D056A" w:rsidP="00395D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2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59C6D6F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ZDRAVSTVO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D1EE296" w14:textId="77777777" w:rsidR="00395D65" w:rsidRPr="00395D65" w:rsidRDefault="009D056A" w:rsidP="00395D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16"/>
                <w:szCs w:val="16"/>
                <w:lang w:val=""/>
              </w:rPr>
              <w:t xml:space="preserve">Cijena </w:t>
            </w:r>
          </w:p>
          <w:p w14:paraId="04E7753B" w14:textId="77777777" w:rsidR="00395D65" w:rsidRPr="00395D65" w:rsidRDefault="009D056A" w:rsidP="00395D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vertAlign w:val="superscript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16"/>
                <w:szCs w:val="16"/>
                <w:lang w:val=""/>
              </w:rPr>
              <w:t>€/m</w:t>
            </w:r>
            <w:r w:rsidRPr="00395D65">
              <w:rPr>
                <w:rFonts w:ascii="Verdana" w:eastAsia="Calibri" w:hAnsi="Verdana" w:cs="Times New Roman"/>
                <w:sz w:val="16"/>
                <w:szCs w:val="16"/>
                <w:vertAlign w:val="superscript"/>
                <w:lang w:val=""/>
              </w:rPr>
              <w:t>2</w:t>
            </w:r>
          </w:p>
          <w:p w14:paraId="3E88F8A7" w14:textId="77777777" w:rsidR="00395D65" w:rsidRPr="00395D65" w:rsidRDefault="009D056A" w:rsidP="00395D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vertAlign w:val="superscript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16"/>
                <w:szCs w:val="16"/>
                <w:vertAlign w:val="superscript"/>
                <w:lang w:val=""/>
              </w:rPr>
              <w:t>0,</w:t>
            </w:r>
            <w:r w:rsidR="00D63723">
              <w:rPr>
                <w:rFonts w:ascii="Verdana" w:eastAsia="Calibri" w:hAnsi="Verdana" w:cs="Times New Roman"/>
                <w:sz w:val="16"/>
                <w:szCs w:val="16"/>
                <w:vertAlign w:val="superscript"/>
                <w:lang w:val=""/>
              </w:rPr>
              <w:t>09346</w:t>
            </w:r>
            <w:r w:rsidRPr="00395D65">
              <w:rPr>
                <w:rFonts w:ascii="Verdana" w:eastAsia="Calibri" w:hAnsi="Verdana" w:cs="Times New Roman"/>
                <w:sz w:val="16"/>
                <w:szCs w:val="16"/>
                <w:vertAlign w:val="superscript"/>
                <w:lang w:val=""/>
              </w:rPr>
              <w:t>*kf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7B7FC8E" w14:textId="77777777" w:rsidR="00395D65" w:rsidRPr="00395D65" w:rsidRDefault="009D056A" w:rsidP="00395D6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16"/>
                <w:szCs w:val="16"/>
                <w:lang w:val=""/>
              </w:rPr>
              <w:t>Korektivni faktor max.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8609DEA" w14:textId="77777777" w:rsidR="00395D65" w:rsidRPr="00395D65" w:rsidRDefault="009D056A" w:rsidP="00395D6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16"/>
                <w:szCs w:val="16"/>
                <w:lang w:val=""/>
              </w:rPr>
              <w:t>Primijenjeni</w:t>
            </w:r>
          </w:p>
          <w:p w14:paraId="0D96FB0B" w14:textId="77777777" w:rsidR="00395D65" w:rsidRPr="00395D65" w:rsidRDefault="009D056A" w:rsidP="00395D6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16"/>
                <w:szCs w:val="16"/>
                <w:lang w:val=""/>
              </w:rPr>
              <w:t>kor.faktor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4299116" w14:textId="77777777" w:rsidR="00395D65" w:rsidRPr="00395D65" w:rsidRDefault="009D056A" w:rsidP="00395D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14"/>
                <w:szCs w:val="14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14"/>
                <w:szCs w:val="14"/>
                <w:lang w:val=""/>
              </w:rPr>
              <w:t>Umanjenje max korektivnog faktora u %</w:t>
            </w:r>
          </w:p>
        </w:tc>
      </w:tr>
      <w:tr w:rsidR="00D821CB" w14:paraId="5C37C5B3" w14:textId="77777777" w:rsidTr="000214FA">
        <w:trPr>
          <w:trHeight w:val="70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D1A9A60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0A1553A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Bolnice, domovi zdravlja, poliklinike, hitna medicinska pomoć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4F71C1" w14:textId="77777777" w:rsidR="00395D65" w:rsidRPr="00395D65" w:rsidRDefault="009D056A" w:rsidP="00395D65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0,36€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ACBD13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268F49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3,9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53CEF7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40%</w:t>
            </w:r>
          </w:p>
        </w:tc>
      </w:tr>
      <w:tr w:rsidR="00D821CB" w14:paraId="4156252F" w14:textId="77777777" w:rsidTr="000214FA">
        <w:trPr>
          <w:trHeight w:val="570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2A85A6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FA16E0B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Ljekarske ordinacije, zubne ambulantne, apoteke, vetiranske apoteke, veterinarske ustanove,  ambulante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079E86" w14:textId="77777777" w:rsidR="00395D65" w:rsidRPr="00395D65" w:rsidRDefault="009D056A" w:rsidP="00F65FAF">
            <w:pPr>
              <w:spacing w:before="100" w:beforeAutospacing="1" w:after="84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 0,61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593E5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B96A45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2EAAA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10E6AA0A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0DD455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3BA8042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SOCIJALNA ZAŠTITA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D759C5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9B7C5C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FEAC30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209451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</w:tr>
      <w:tr w:rsidR="00D821CB" w14:paraId="01DC61C7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C160776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4294528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Objekti s</w:t>
            </w:r>
            <w:r w:rsidR="00E01E5B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ocijalne zaštite sa smještajem: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domovi starih, objekti za liječenje bolesti zavisnosti, za djecu bez roditeljskog staranja, za djecu i osobe sa teškoćama u razvoju i drugi objekti socijalne zaštite sa smještajem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4F0325" w14:textId="77777777" w:rsidR="00395D65" w:rsidRPr="00D63723" w:rsidRDefault="009D056A" w:rsidP="000214FA">
            <w:pPr>
              <w:spacing w:before="100" w:beforeAutospacing="1" w:after="120" w:line="240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yellow"/>
                <w:lang w:val=""/>
              </w:rPr>
            </w:pP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0,47€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83886C5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5B9715CC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E2C11F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BA2F4A" w14:textId="77777777" w:rsid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00B4D558" w14:textId="77777777" w:rsidR="00A2630C" w:rsidRDefault="00A2630C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346951EF" w14:textId="77777777" w:rsidR="00A2630C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  <w:p w14:paraId="477903CF" w14:textId="77777777" w:rsidR="00A2630C" w:rsidRPr="00395D65" w:rsidRDefault="00A2630C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93F435" w14:textId="77777777" w:rsidR="000214FA" w:rsidRDefault="000214F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2F0C4283" w14:textId="77777777" w:rsidR="000214FA" w:rsidRDefault="000214F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04606A5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1AD5B22E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E9FBE6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15918BE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Klubovi penzionera, narodne kuhinje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1703F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0,37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001DD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862F74" w14:textId="77777777" w:rsidR="00A2630C" w:rsidRPr="00395D65" w:rsidRDefault="009D056A" w:rsidP="00A2630C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D74743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2DF9C31B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3214436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4.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E42999D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OBRAZOVANJE I KULTURA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0C1F9C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257C03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135ED9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2A89EA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</w:tr>
      <w:tr w:rsidR="00D821CB" w14:paraId="34EC2A72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1BEA844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A4A2127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Vrtići i ostale predškolske ustanove, škole, fakulteti, univerziteti, naučne ustanove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E6B6F3" w14:textId="77777777" w:rsidR="00395D65" w:rsidRPr="00395D65" w:rsidRDefault="009D056A" w:rsidP="00F65FAF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65FAF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0,21€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0563B2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CE47D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2,25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A76C21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50%</w:t>
            </w:r>
          </w:p>
        </w:tc>
      </w:tr>
      <w:tr w:rsidR="00D821CB" w14:paraId="5C015045" w14:textId="77777777" w:rsidTr="002A7F1F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2525F0" w14:textId="77777777" w:rsidR="002478F0" w:rsidRPr="00F34F74" w:rsidRDefault="009D056A" w:rsidP="00247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4.1.1.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2D4FD1" w14:textId="77777777" w:rsidR="002478F0" w:rsidRPr="00F34F74" w:rsidRDefault="009D056A" w:rsidP="002478F0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Od </w:t>
            </w:r>
            <w:r w:rsidR="00450F34"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 m2 d</w:t>
            </w: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 1000 m2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5BC06C" w14:textId="77777777" w:rsidR="002478F0" w:rsidRPr="00F34F74" w:rsidRDefault="009D056A" w:rsidP="002478F0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0,21€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F1AB41" w14:textId="77777777" w:rsidR="002478F0" w:rsidRPr="00F34F74" w:rsidRDefault="009D056A" w:rsidP="00247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43A30D" w14:textId="77777777" w:rsidR="002478F0" w:rsidRPr="00F34F74" w:rsidRDefault="009D056A" w:rsidP="00247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2,25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D2D34F" w14:textId="77777777" w:rsidR="002478F0" w:rsidRPr="00F34F74" w:rsidRDefault="009D056A" w:rsidP="00247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50%</w:t>
            </w:r>
          </w:p>
        </w:tc>
      </w:tr>
      <w:tr w:rsidR="00D821CB" w14:paraId="0DAF89D8" w14:textId="77777777" w:rsidTr="002A7F1F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7155BC" w14:textId="77777777" w:rsidR="002478F0" w:rsidRPr="00F34F74" w:rsidRDefault="009D056A" w:rsidP="00247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lastRenderedPageBreak/>
              <w:t>4.1.2.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F2F200" w14:textId="77777777" w:rsidR="002478F0" w:rsidRPr="00F34F74" w:rsidRDefault="009D056A" w:rsidP="002478F0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Preko 1000 m2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3AC8A2" w14:textId="77777777" w:rsidR="002478F0" w:rsidRPr="00F34F74" w:rsidRDefault="009D056A" w:rsidP="002478F0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Calibri" w:eastAsia="Calibri" w:hAnsi="Calibri" w:cs="Calibri"/>
                <w:color w:val="000000"/>
              </w:rPr>
              <w:t>0,17</w:t>
            </w:r>
            <w:r w:rsidRPr="00F34F74"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2FD880" w14:textId="77777777" w:rsidR="002478F0" w:rsidRPr="00F34F74" w:rsidRDefault="009D056A" w:rsidP="00247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9184B0" w14:textId="77777777" w:rsidR="002478F0" w:rsidRPr="00F34F74" w:rsidRDefault="009D056A" w:rsidP="00247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Arial" w:eastAsia="Calibri" w:hAnsi="Arial" w:cs="Arial"/>
                <w:sz w:val="20"/>
                <w:szCs w:val="20"/>
              </w:rPr>
              <w:t>1,80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9C13C6" w14:textId="77777777" w:rsidR="002478F0" w:rsidRPr="00F34F74" w:rsidRDefault="009D056A" w:rsidP="00247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F34F74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60%</w:t>
            </w:r>
          </w:p>
        </w:tc>
      </w:tr>
      <w:tr w:rsidR="00D821CB" w14:paraId="4F26FABB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247E110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A91E221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Domovi učenika</w:t>
            </w:r>
            <w:r w:rsidR="00C1070D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 i</w:t>
            </w:r>
            <w:r w:rsidR="00662A9F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studenata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9CD220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0,47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35C9B3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87BB16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20F36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1AED8CC1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56DADE1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4.3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BB45153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Domovi kulture, pozorišta, muzeji, galerije, koncertne dvorane, bioskopi, biblioteke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A0CD05" w14:textId="77777777" w:rsidR="00395D65" w:rsidRPr="00395D65" w:rsidRDefault="009D056A" w:rsidP="00395D65">
            <w:pPr>
              <w:spacing w:after="6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0,22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6E619FF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5,8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803C0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2,32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8BC410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60%</w:t>
            </w:r>
          </w:p>
        </w:tc>
      </w:tr>
      <w:tr w:rsidR="00D821CB" w14:paraId="221E7C59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63D9404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5.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364375F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SPORT I REKREACIJA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ACE9CA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91BFA7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723844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E5774B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</w:tr>
      <w:tr w:rsidR="00D821CB" w14:paraId="6C5F6BFE" w14:textId="77777777" w:rsidTr="000214FA">
        <w:trPr>
          <w:trHeight w:val="545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6951ECE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1CB685B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Sportski i rekreacioni objekti: dvorane, teretane, fitnes centri, zatvoreni tereni, aerobik klubovi, sportske balon sale 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6F2249" w14:textId="77777777" w:rsidR="00395D65" w:rsidRPr="00395D65" w:rsidRDefault="009D056A" w:rsidP="000214FA">
            <w:pPr>
              <w:spacing w:before="100" w:beforeAutospacing="1" w:after="84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</w:t>
            </w:r>
            <w:r w:rsidR="00A2630C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19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982F8F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5,0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9659F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06866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60%</w:t>
            </w:r>
          </w:p>
        </w:tc>
      </w:tr>
      <w:tr w:rsidR="00D821CB" w14:paraId="1706DA6C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3BEE729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DB6DB58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Igraonice za djecu 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09BBCD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0,45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7672A0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4,8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184515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4,8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1F121D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5EFBA1F7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CF62CAF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6.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B1D3269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ADMINISTRACIJA I KANCELARIJSKI PROSTORI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238AEE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95D3C8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EA7B4B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88CBB5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</w:tr>
      <w:tr w:rsidR="00D821CB" w14:paraId="5FB3FA93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68157F2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B17C93C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Organi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državne uprave, organi samouprave i organi i službe lokalne uprave, javne ustanove i privredna društva kojima je osnivač država ili lokalna samouprava, administrativni objekti Vojske Crne Gore, Nacionalna turistička organizacija i lokalne turističke organi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zacije, sudovi, tužilaštva, političke organizacije i zajednice, komore i udruženja, advokatske kancelarije, notari, javni izvršitelji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8FF969" w14:textId="77777777" w:rsidR="00395D65" w:rsidRPr="00395D65" w:rsidRDefault="009D056A" w:rsidP="00F65FAF">
            <w:pPr>
              <w:spacing w:after="360" w:line="276" w:lineRule="auto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F65FAF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</w:t>
            </w:r>
            <w:r w:rsidR="00A2630C" w:rsidRPr="00F65FAF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36</w:t>
            </w:r>
            <w:r w:rsidRPr="00F65FAF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05FF93A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3CE8F5DF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502D30A5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70B01277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C147FB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6AF33F9F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10DCB5FE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7E3E953B" w14:textId="77777777" w:rsidR="00395D65" w:rsidRPr="00DB0D78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DB0D78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3,90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EFEEF8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2CAF87B9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64F67FB3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5F8DD868" w14:textId="77777777" w:rsidR="00395D65" w:rsidRPr="00DB0D78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DB0D78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40%</w:t>
            </w:r>
          </w:p>
        </w:tc>
      </w:tr>
      <w:tr w:rsidR="00D821CB" w14:paraId="2D2A2425" w14:textId="77777777" w:rsidTr="000214FA">
        <w:trPr>
          <w:trHeight w:val="366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6A0CFB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24D720D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Strana diplomatska predstavništva (ambasade, konzulati i sl.), nevladine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organizacije i udruženja, vojne kasarne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1D3D01" w14:textId="77777777" w:rsidR="00395D65" w:rsidRPr="00395D65" w:rsidRDefault="009D056A" w:rsidP="00395D65">
            <w:pPr>
              <w:spacing w:before="100" w:beforeAutospacing="1" w:after="72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0,65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BA38DC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24468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B2BDD9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5405914B" w14:textId="77777777" w:rsidTr="000214FA">
        <w:trPr>
          <w:trHeight w:val="366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4B97203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6.3.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957BD60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Banke, osiguravajuća društva, brokerske, berzanske kuće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08CF02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0,61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FA7657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9AAFAF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52C2BC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2C42AF30" w14:textId="77777777" w:rsidTr="000214FA">
        <w:trPr>
          <w:trHeight w:val="366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A3D2C5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6.4.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D9B851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Administrativni  objekti u sektoru energetike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80D2DD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0,65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26678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5DF6EA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D63F2E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175D47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424DB113" w14:textId="77777777" w:rsidTr="000214FA">
        <w:trPr>
          <w:trHeight w:val="366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547986F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6.5.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6AFA58D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Mediji: Radio i televizija,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elektronski i štampani mediji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6EFA26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0,55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7F5B3E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5,9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DC58C0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5,9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45A813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175D47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410AFDE9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98F0D61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6.6.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0011629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Zavodi za izvršenje krivičnih sankcija, kazneno-popravni domovi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BBE728" w14:textId="77777777" w:rsidR="000214FA" w:rsidRPr="00395D65" w:rsidRDefault="009D056A" w:rsidP="000214FA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0,47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79FAF3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11A7FA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65D0E0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175D47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0C111327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DBBB9FF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7.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5DB4A20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b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sz w:val="20"/>
                <w:szCs w:val="20"/>
                <w:lang w:val=""/>
              </w:rPr>
              <w:t>VJERSKI OBJEKTI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B762F9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5CD0E2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C6538F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80462E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</w:tr>
      <w:tr w:rsidR="00D821CB" w14:paraId="0B691523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6187ABD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lastRenderedPageBreak/>
              <w:t>7.1.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42967A5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Vjerski objekti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7A0D9D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0,22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6936CC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680633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2,40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C2C76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20%</w:t>
            </w:r>
          </w:p>
        </w:tc>
      </w:tr>
      <w:tr w:rsidR="00D821CB" w14:paraId="13968890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95C9B35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8.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0BB22A2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OBJEKTI TELEKOMUNIKACIJE I PTT OBJEKTI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2C8DA6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42E940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FB3530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342C5B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</w:tr>
      <w:tr w:rsidR="00D821CB" w14:paraId="75633F33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101A633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751BA9D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Operateri kablovske, fiksne i mobilne tel., objekti Pošte CG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70C27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0,65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E1609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436962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7,0</w:t>
            </w:r>
            <w:r w:rsidR="00A2630C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2E96FC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11B20568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B7C78E4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red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9.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136BC49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strike/>
                <w:sz w:val="20"/>
                <w:szCs w:val="20"/>
                <w:highlight w:val="red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TURIZAM I UGOSTITELJSTVO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BE2274A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trike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0A3BF2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trike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AA6245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trike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88C31D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trike/>
                <w:sz w:val="20"/>
                <w:szCs w:val="20"/>
                <w:highlight w:val="yellow"/>
                <w:lang w:val=""/>
              </w:rPr>
            </w:pPr>
          </w:p>
        </w:tc>
      </w:tr>
      <w:tr w:rsidR="00D821CB" w14:paraId="1AEBB2A0" w14:textId="77777777" w:rsidTr="000214FA">
        <w:trPr>
          <w:trHeight w:val="1749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5862066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595DD0B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Ugostiteljski objekti sa pripremanjem i usluživanjem hrane, pića i napitaka, u skladu sa Zakonom o turizmu i ugostiteljstvu, kafići, pabovi, barovi, noćni klubovi, diskoteke, otvoreni šankovi, restorani, picerije, konobe, objekti brze hrane, poslastičarnic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e, pečenjare, pekare, buregdžinice, čevabdžinice, mliječni restorani, čajdžinice, ketering, brod restoran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4DCFB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57628C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0,75€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26FF84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02548D7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71682A6F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430C55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101697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6A3F7339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1F343FC7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327F889D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A2630C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A8C846" w14:textId="77777777" w:rsidR="000214FA" w:rsidRDefault="000214F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  <w:p w14:paraId="23180C15" w14:textId="77777777" w:rsidR="000214FA" w:rsidRDefault="000214F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  <w:p w14:paraId="6C94559F" w14:textId="77777777" w:rsidR="000214FA" w:rsidRDefault="000214F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  <w:p w14:paraId="11A5A65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0214F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20%</w:t>
            </w:r>
          </w:p>
        </w:tc>
      </w:tr>
      <w:tr w:rsidR="00D821CB" w14:paraId="1C13B0EE" w14:textId="77777777" w:rsidTr="000214FA">
        <w:trPr>
          <w:trHeight w:val="475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305520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9.1.1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3EA4E2" w14:textId="77777777" w:rsidR="00DB0D78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Od 0 m2 do 500m2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486065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0,75€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A6EAEA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8F0640" w14:textId="77777777" w:rsidR="00DB0D78" w:rsidRPr="00DB0D78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DB0D78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EF86D0" w14:textId="77777777" w:rsidR="00DB0D78" w:rsidRPr="00DB0D78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DB0D78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20%</w:t>
            </w:r>
          </w:p>
        </w:tc>
      </w:tr>
      <w:tr w:rsidR="00D821CB" w14:paraId="41656365" w14:textId="77777777" w:rsidTr="000214FA">
        <w:trPr>
          <w:trHeight w:val="475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776C5C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9.1.2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84CD5B" w14:textId="77777777" w:rsidR="00DB0D78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Od 501 m2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C6DDED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</w:t>
            </w: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3C739C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2C0F73" w14:textId="77777777" w:rsidR="00DB0D78" w:rsidRPr="00DB0D78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DB0D78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597835" w14:textId="77777777" w:rsidR="00DB0D78" w:rsidRPr="00DB0D78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DB0D78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30%</w:t>
            </w:r>
          </w:p>
        </w:tc>
      </w:tr>
      <w:tr w:rsidR="00D821CB" w14:paraId="11146A25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9A2E0DF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899BA48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Turističke agencije,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rent-a-car, rent a bike, rent a yacht.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8C2BE2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0,65€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87C3AC5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E75DD9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08363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81748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63883D3B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738CDA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9.3.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936730F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Objekti za organizaciju svečanosti, svadbi i pomena 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E8D5CC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0,93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75EDAAA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F7606F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3B506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81748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2BB16427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CA1FB03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9.4.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D27A895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Plaže i kupališta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7B5E22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0,93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D6F78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E299DC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35600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81748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49772342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F5BF8D2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10.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665632A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SAOBRAĆAJ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99F1B0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D9C5F5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8BF363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04FD53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</w:tr>
      <w:tr w:rsidR="00D821CB" w14:paraId="4A38BBC2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A90671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0D03F44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Operativna obala: mula,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pristaništa, privezišta, trajektni plato, pontoni, sidrišta i sl.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17E00F" w14:textId="77777777" w:rsidR="00395D65" w:rsidRPr="00C1070D" w:rsidRDefault="009D056A" w:rsidP="00395D65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1070D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/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FB5672" w14:textId="77777777" w:rsidR="00395D65" w:rsidRPr="00C1070D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1070D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/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3039B2" w14:textId="77777777" w:rsidR="00395D65" w:rsidRPr="00C1070D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1070D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/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2212D2" w14:textId="77777777" w:rsidR="00395D65" w:rsidRPr="00C1070D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1070D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/</w:t>
            </w:r>
          </w:p>
        </w:tc>
      </w:tr>
      <w:tr w:rsidR="00D821CB" w14:paraId="323573B4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D87E78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1CA0F04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Željezničke stanice, autobuske stanice, aerodromi, luke, auto-taksi udruženja, auto-škole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AEF8BA" w14:textId="77777777" w:rsidR="000214FA" w:rsidRPr="00395D65" w:rsidRDefault="009D056A" w:rsidP="000214FA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0,65€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88BD1B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CB7DDE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A2630C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A864F3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C75A1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5F84A13D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7A4876C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10.3.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DEC1B92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Zatvoreni parking prostori, javne parking garaže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EA61A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0,53€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BB0B3DB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5,7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F0CC3F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5,7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D8781B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75A1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41AA907F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E2A7D8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11.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F1F3C46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TRGOVINA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583028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3C497E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DC543E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98B6D4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</w:p>
        </w:tc>
      </w:tr>
      <w:tr w:rsidR="00D821CB" w14:paraId="4F44A42E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7763BC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11.1.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DE0A48E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Prodavnice prehrambene robe različitog tipa, samoposluge (mini, mega i maksi marketi, super marketi i sl.), diskonti pića i hrane, mesare, piljare, pijace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lastRenderedPageBreak/>
              <w:t>(zelene, mješovite, kamionske, stočne), veleprodajni objekti i distributivni centri prehrambenih arti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kala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158BD7" w14:textId="77777777" w:rsidR="00395D65" w:rsidRPr="00395D65" w:rsidRDefault="009D056A" w:rsidP="00F65FAF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lastRenderedPageBreak/>
              <w:t>0,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93</w:t>
            </w: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A2900C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167CE724" w14:textId="77777777" w:rsidR="00343052" w:rsidRDefault="00343052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50BC0E31" w14:textId="77777777" w:rsidR="00395D65" w:rsidRPr="00395D65" w:rsidRDefault="009D056A" w:rsidP="00343052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lastRenderedPageBreak/>
              <w:t xml:space="preserve">  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795DE4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2013E9D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A2630C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FEBA2B" w14:textId="77777777" w:rsidR="000214FA" w:rsidRDefault="000214F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6538CE06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0174774B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75B570C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11.2.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6273523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Veleprodajni i maloprodajni objekti tehničke robe, alata, rezervnih djelova, elektro, vodovodnog i građevinskog materijala, prodajno-izložbeni saloni automobila i namještaja, prodavnice tekstila, odjeće i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obuće, knjižare i prodavnice školskog i sličnog pribora, prodajni objekti robe široke potrošnje, parfimerije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2E4805" w14:textId="77777777" w:rsidR="00395D65" w:rsidRPr="00395D65" w:rsidRDefault="009D056A" w:rsidP="000214FA">
            <w:pPr>
              <w:spacing w:after="96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0,78€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8DCC86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DEBE8F3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6E549BEC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8,3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EEB148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6613FD6E" w14:textId="77777777" w:rsidR="00F65FAF" w:rsidRDefault="00F65FAF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27EE62D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8,3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52B1EF" w14:textId="77777777" w:rsidR="000214FA" w:rsidRDefault="000214F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22812A3E" w14:textId="77777777" w:rsidR="000214FA" w:rsidRDefault="000214F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503E4F49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11F9B203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C112E91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11.3.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A3464F7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Objekti za prodaju i promet energenata (benzinske stanice i sl.)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123982" w14:textId="77777777" w:rsidR="00395D65" w:rsidRPr="00395D65" w:rsidRDefault="009D056A" w:rsidP="00395D65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0,93€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1353201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10,0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CC1AEB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3178F1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7E079F3C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32EC554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11.4.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454EFC0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Skladišta zatvorenog tipa za smještaj roba i materijala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7E501F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highlight w:val="yellow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0,38€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DD49805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4,1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D8BAB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4,1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805347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43C2900B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74B5D7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11.4.1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70A217" w14:textId="77777777" w:rsidR="00DB0D78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Od 0 m2 do 500 m2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0733E9" w14:textId="77777777" w:rsidR="00DB0D78" w:rsidRPr="00365EBA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0,27€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5F262C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4,1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48261F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2,87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EB5FAF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30%</w:t>
            </w:r>
          </w:p>
        </w:tc>
      </w:tr>
      <w:tr w:rsidR="00D821CB" w14:paraId="381FAF82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1CDD2D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11.4.2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5DBF64" w14:textId="77777777" w:rsidR="00DB0D78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Od 501 m2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845A70" w14:textId="77777777" w:rsidR="00DB0D78" w:rsidRPr="00365EBA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65EBA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0,23€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8E3EDE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4,1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0ED618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2,46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380B8C" w14:textId="77777777" w:rsidR="00DB0D78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40%</w:t>
            </w:r>
          </w:p>
        </w:tc>
      </w:tr>
      <w:tr w:rsidR="00D821CB" w14:paraId="2CCD8662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29CEA2A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12.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8D0223A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IGRE NA SREĆU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BDE428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E6D19C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0429E8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C89A1F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</w:tr>
      <w:tr w:rsidR="00D821CB" w14:paraId="642A10DA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3A91F76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12.1.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A28E51B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Sportske kladinice, kazina, automat klubovi i drugi objekti u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kojima se priređuju igre na sreću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EA2496" w14:textId="77777777" w:rsidR="00395D65" w:rsidRPr="00395D65" w:rsidRDefault="009D056A" w:rsidP="00395D65">
            <w:pPr>
              <w:spacing w:after="4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0,85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8A57EC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9,1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5BD2E0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9,1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B5A28F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0CFBA05C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CD5714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13.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367BB2F" w14:textId="77777777" w:rsidR="00395D65" w:rsidRPr="00395D65" w:rsidRDefault="009D056A" w:rsidP="00395D65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ZANATSTVO I USLUŽNE DJELATNOSTI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84E6B9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940939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328428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04D211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</w:tr>
      <w:tr w:rsidR="00D821CB" w14:paraId="741D8CAC" w14:textId="77777777" w:rsidTr="000214FA">
        <w:trPr>
          <w:trHeight w:val="530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C439628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13.1.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7E440DE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Frizerski i kozmetičarski saloni, saloni za masažu i druge tretmane za njegu lica i tijela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99514D" w14:textId="77777777" w:rsidR="00395D65" w:rsidRPr="00395D65" w:rsidRDefault="009D056A" w:rsidP="00F65FAF">
            <w:pPr>
              <w:spacing w:after="6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0,90</w:t>
            </w:r>
            <w:r w:rsidRPr="00D63723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D0C9D7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9,6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DC3943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9,6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8D986F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0B609D2D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CAAA516" w14:textId="77777777" w:rsidR="00395D65" w:rsidRPr="00395D65" w:rsidRDefault="009D056A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13.2.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98C078C" w14:textId="77777777" w:rsidR="00395D65" w:rsidRPr="00395D65" w:rsidRDefault="009D056A" w:rsidP="00395D65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Obućarske, krojačke,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tašnarske, tapetarske, staklorezačke, stolarske, ključarske, bravarske i limarske radnje, hemijske čistionice, električarski i TV servisi, fotografske radnje, kopirnice, časovničarske, filigranske i zlatarske radnje, optike</w:t>
            </w:r>
            <w:r w:rsidRPr="00395D65">
              <w:rPr>
                <w:rFonts w:ascii="Verdana" w:eastAsia="Calibri" w:hAnsi="Verdana" w:cs="Times New Roman"/>
                <w:color w:val="FF0000"/>
                <w:sz w:val="20"/>
                <w:szCs w:val="20"/>
                <w:lang w:val=""/>
              </w:rPr>
              <w:t>,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 DVD i ostali klubovi, servisi z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a tehnički preglede i opravku vozila, praonice vozila,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lastRenderedPageBreak/>
              <w:t>vulkanizeri, drugi prostori kojima je od strane nadležnog organa odobreno obavljanje zanatske djelatnosti (djelatnosti koje su u klasifikaciji djelatnosti svrstane kao zanatske djelatnosti)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7C0A556E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7C596B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7F2C79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D9E630" w14:textId="77777777" w:rsidR="00395D65" w:rsidRPr="00395D65" w:rsidRDefault="00395D65" w:rsidP="00395D65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</w:tr>
      <w:tr w:rsidR="00D821CB" w14:paraId="59D8C93B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7A83BE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13.2.1.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</w:tcPr>
          <w:p w14:paraId="3B1CD2EF" w14:textId="77777777" w:rsidR="00365EBA" w:rsidRPr="00395D65" w:rsidRDefault="009D056A" w:rsidP="00365EBA">
            <w:pPr>
              <w:spacing w:after="0" w:line="276" w:lineRule="auto"/>
              <w:jc w:val="right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Do 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 m2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4FC88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Calibri" w:eastAsia="Calibri" w:hAnsi="Calibri" w:cs="Calibri"/>
                <w:color w:val="000000"/>
              </w:rPr>
              <w:t>0,91 €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</w:tcPr>
          <w:p w14:paraId="14E8C1DA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6196DF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E5B835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1F035638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ACBF90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13.2.2.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</w:tcPr>
          <w:p w14:paraId="3A3DDD11" w14:textId="77777777" w:rsidR="00365EBA" w:rsidRPr="00395D65" w:rsidRDefault="009D056A" w:rsidP="00365EBA">
            <w:pPr>
              <w:spacing w:after="0" w:line="276" w:lineRule="auto"/>
              <w:jc w:val="right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  Od 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1 m2 do 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00 m2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6A26D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Calibri" w:eastAsia="Calibri" w:hAnsi="Calibri" w:cs="Calibri"/>
                <w:color w:val="000000"/>
              </w:rPr>
              <w:t>0,82 €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</w:tcPr>
          <w:p w14:paraId="00A213DB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E06D88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73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D6E45C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10%</w:t>
            </w:r>
          </w:p>
        </w:tc>
      </w:tr>
      <w:tr w:rsidR="00D821CB" w14:paraId="0585BFD1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0F700B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13.2.3.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</w:tcPr>
          <w:p w14:paraId="114A3DB3" w14:textId="77777777" w:rsidR="00365EBA" w:rsidRPr="00395D65" w:rsidRDefault="009D056A" w:rsidP="00365EBA">
            <w:pPr>
              <w:spacing w:after="0" w:line="276" w:lineRule="auto"/>
              <w:jc w:val="right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Od 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01 m2 do 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00 m2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DBE7D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Calibri" w:eastAsia="Calibri" w:hAnsi="Calibri" w:cs="Calibri"/>
                <w:color w:val="000000"/>
              </w:rPr>
              <w:t>0,73 €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</w:tcPr>
          <w:p w14:paraId="3DF19FAC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9,70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87504A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76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2019AC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20%</w:t>
            </w:r>
          </w:p>
        </w:tc>
      </w:tr>
      <w:tr w:rsidR="00D821CB" w14:paraId="189012D3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1C70B7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13.2.4.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</w:tcPr>
          <w:p w14:paraId="191D1ABD" w14:textId="77777777" w:rsidR="00365EBA" w:rsidRPr="00395D65" w:rsidRDefault="009D056A" w:rsidP="00365EBA">
            <w:pPr>
              <w:spacing w:after="0" w:line="276" w:lineRule="auto"/>
              <w:jc w:val="right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Od 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01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 m2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 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do 500 m2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77AB0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Calibri" w:eastAsia="Calibri" w:hAnsi="Calibri" w:cs="Calibri"/>
                <w:color w:val="000000"/>
              </w:rPr>
              <w:t>0,63 €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</w:tcPr>
          <w:p w14:paraId="2A4A63FE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EAC7A4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</w:t>
            </w: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79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F9932F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30%</w:t>
            </w:r>
          </w:p>
        </w:tc>
      </w:tr>
      <w:tr w:rsidR="00D821CB" w14:paraId="4CAE5B89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2EDB38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13.2.5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</w:tcPr>
          <w:p w14:paraId="229CD53D" w14:textId="77777777" w:rsidR="00365EBA" w:rsidRPr="00395D65" w:rsidRDefault="009D056A" w:rsidP="00365EBA">
            <w:pPr>
              <w:spacing w:after="0" w:line="276" w:lineRule="auto"/>
              <w:jc w:val="right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Od 501 m2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57E1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Calibri" w:eastAsia="Calibri" w:hAnsi="Calibri" w:cs="Calibri"/>
                <w:color w:val="000000"/>
              </w:rPr>
              <w:t>0,54 €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</w:tcPr>
          <w:p w14:paraId="161140F6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F5D856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5,82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793336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40%</w:t>
            </w:r>
          </w:p>
        </w:tc>
      </w:tr>
      <w:tr w:rsidR="00D821CB" w14:paraId="338FD794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7FA6418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13.3.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hideMark/>
          </w:tcPr>
          <w:p w14:paraId="3BDED7F1" w14:textId="77777777" w:rsidR="00365EBA" w:rsidRPr="00395D65" w:rsidRDefault="009D056A" w:rsidP="00365EB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Objekti u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izgradnji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F9D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0,19</w:t>
            </w:r>
            <w:r w:rsidR="0004284F"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</w:tcPr>
          <w:p w14:paraId="2FD6FCC9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AC8382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3DFFEC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13433349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04E1040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14.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DD225AA" w14:textId="77777777" w:rsidR="00365EBA" w:rsidRPr="00395D65" w:rsidRDefault="009D056A" w:rsidP="00365EB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PROIZVODNE DJELATNOSTI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FBD05C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753EF2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FCCED6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97CA93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</w:tr>
      <w:tr w:rsidR="00D821CB" w14:paraId="4929F2DF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4132EBF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14.1.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EF503D8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Fabrike, proizvodne hale, proizvodni pogoni, kao i ostali prostori u kojima se obavlja prerada, sortiranje i pakovanje proizvoda od voća i povrća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A1409F" w14:textId="77777777" w:rsidR="000214FA" w:rsidRPr="00395D65" w:rsidRDefault="009D056A" w:rsidP="000214FA">
            <w:pPr>
              <w:spacing w:after="10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0,76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D38F4B8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8,1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111255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8,1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F9186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10232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3803F496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9572B7A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14.2.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02BD8B0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Fabrike, proizvodne hale, proizvodni pogoni, kao i ostali prostori u kojima se obavlja proizvodnja mlijeka i mliječnih proizvoda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24AAF5" w14:textId="77777777" w:rsidR="000214FA" w:rsidRPr="00395D65" w:rsidRDefault="009D056A" w:rsidP="000214FA">
            <w:pPr>
              <w:spacing w:after="108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0,70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BF5CBC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556912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ACAA09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10232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4F4AF912" w14:textId="77777777" w:rsidTr="000214FA">
        <w:trPr>
          <w:trHeight w:val="699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ACAE5C1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14.3.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4DCC6A0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Fabrike, proizvodne hale, proizvodni pogoni, kao i ostali prostori u kojima se obavlja uzgoj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životinja i živine i proizvodnja mesa, mesnih prerađevina i jaja, preradu žitarica, otkup i prerada ljekovitog bilja, uzgajališta ribe i školjki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BCB3BA" w14:textId="77777777" w:rsidR="000214FA" w:rsidRPr="00395D65" w:rsidRDefault="009D056A" w:rsidP="000214FA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0,80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47CAFA" w14:textId="77777777" w:rsidR="000214FA" w:rsidRPr="00395D65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5B429B95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255776E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8,6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79323E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6F894272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7FC70C0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8,6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24F85B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2F587B20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707839B6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10232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55706960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A420E6B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14.4.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32FE169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Fabrike, proizvodne hale, proizvodni pogoni, kao i ostali prostori u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kojima se obavlja proizvodnja obuće, kože, tekstila i kožnih i tekstilnih proizvoda, drvoprerada i proizvodnja namještaja, proizvodnja ljekova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E73801" w14:textId="77777777" w:rsidR="000214FA" w:rsidRPr="00395D65" w:rsidRDefault="009D056A" w:rsidP="000214FA">
            <w:pPr>
              <w:spacing w:after="156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0,72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5C8DC8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B7D840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7,7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EFB145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10232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2A24D4BE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4876263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lastRenderedPageBreak/>
              <w:t>14.5.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8D659FC" w14:textId="77777777" w:rsidR="00365EBA" w:rsidRPr="00395D65" w:rsidRDefault="009D056A" w:rsidP="00365EB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Fabrike, proizvodne hale, proizvodni pogoni, kao i ostali prostori u kojima se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obavlja prerada metala i izrada proizvoda od metala, proizvodnja građevinskog materijala i druge djelatnosti koje su u klasifikaciji djelatnosti stvrstane kao proizvodne djelatnosti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471994" w14:textId="77777777" w:rsidR="00365EBA" w:rsidRPr="00395D65" w:rsidRDefault="009D056A" w:rsidP="000214FA">
            <w:pPr>
              <w:spacing w:after="132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0,74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ACEDFF" w14:textId="77777777" w:rsidR="00A2630C" w:rsidRDefault="00A2630C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1133486D" w14:textId="77777777" w:rsidR="00365EBA" w:rsidRPr="00395D65" w:rsidRDefault="009D056A" w:rsidP="00F65FAF">
            <w:pPr>
              <w:spacing w:after="84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7,9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6E40A8" w14:textId="77777777" w:rsidR="00A2630C" w:rsidRDefault="00A2630C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5BB35CAC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7,9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F72534" w14:textId="77777777" w:rsidR="000214FA" w:rsidRDefault="000214F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65AF2E3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79EECF09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202548A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14.6.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E7211F8" w14:textId="77777777" w:rsidR="00365EBA" w:rsidRPr="00395D65" w:rsidRDefault="009D056A" w:rsidP="00365EB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Proizvodni energetski objekti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2816C8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0,70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FEDFA2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D60FAF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7,5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249181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7961DA12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9898FEB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15.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D6309C2" w14:textId="77777777" w:rsidR="00365EBA" w:rsidRPr="00395D65" w:rsidRDefault="009D056A" w:rsidP="00365EB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POKRETNE TEZGE I DRUGI PRIVREMENI OBJEKTI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7A13B8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53552F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F7AFA8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1ABA18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</w:tr>
      <w:tr w:rsidR="00D821CB" w14:paraId="4C9A1899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9F7DCF3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15.1.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4E437C2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Kiosci za prodaju duvanskih proizvoda, štampe, suvenira, CD/DVD, bižuterije, igračaka, školskog pribora, poljoprivredne apoteke, prodavnice cvijeća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3BF360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0,92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0F4AB48" w14:textId="77777777" w:rsidR="000214FA" w:rsidRPr="00395D65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55B90F1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9,80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D458B3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15BA69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9,80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12C758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0F7668AB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0783F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31DCEF7F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EAE936D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15.2.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A5AA161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Pokretne tezge i manji prodajni objekti za prodaju: knjiga, umjetnina, suvenira, tekstila, proizvoda domaće radinosti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EDC57B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0,89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BDBED9" w14:textId="77777777" w:rsidR="000214FA" w:rsidRPr="00395D65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3F4F696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8B0402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425A308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EC4FBB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6EBBB35D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0783F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63BBC778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3DCA698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15.3.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2EFC553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Pokretne tezge i manji prodajni objekti za prodaju: klasova, sjemenki, kokica, voća, povrća,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kestenja, palačinki, šećerne vune, rashladne vitrine i automati za prodaju sladoleda i napitaka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71CC29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0,90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B1ED8D" w14:textId="77777777" w:rsidR="000214FA" w:rsidRPr="00395D65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27F31DF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9,6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D0EA6A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DBDB701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9,6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227AAF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7FC92C7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0783F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159E0542" w14:textId="77777777" w:rsidTr="000214FA">
        <w:trPr>
          <w:trHeight w:val="327"/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5E02946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16.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39C44BC" w14:textId="77777777" w:rsidR="00365EBA" w:rsidRPr="00395D65" w:rsidRDefault="009D056A" w:rsidP="00365EB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OTVORENE POVRŠINE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05C620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8E8DC4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197BC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86C0C4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</w:tr>
      <w:tr w:rsidR="00D821CB" w14:paraId="39F94B1C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A3C7796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16.1.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CC4A1B1" w14:textId="77777777" w:rsidR="00365EBA" w:rsidRPr="00395D65" w:rsidRDefault="009D056A" w:rsidP="00365EBA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Nepokrivene i/ili pokrivene otvorene površine za obavljanje privrednih i drugih djelatnosti, namijenjenih za skladištenje i/ili prodaju određenih roba ili pružanje određenih usluga, auto-perionice,, auto-otpadi, sportske, sajamske površine, luna-parkovi, a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vanturistički parkovi, akva-parkovi, klizališta, karting staze, auto-placevi, otvoreni prostor benzinske stanice, otvoreni prostori autobuske stanice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0E7BC1DF" w14:textId="77777777" w:rsidR="00365EBA" w:rsidRPr="00395D65" w:rsidRDefault="009D056A" w:rsidP="000214FA">
            <w:pPr>
              <w:spacing w:after="144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0,34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14:paraId="3CC92ED3" w14:textId="77777777" w:rsidR="00365EBA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0D1631F1" w14:textId="77777777" w:rsidR="00365EBA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2786A380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9,10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33B1AC5" w14:textId="77777777" w:rsidR="00365EBA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3D7EFD64" w14:textId="77777777" w:rsidR="00365EBA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4BCBA8B0" w14:textId="77777777" w:rsidR="00365EBA" w:rsidRPr="00395D65" w:rsidRDefault="009D056A" w:rsidP="00365EB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3,64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F134D17" w14:textId="77777777" w:rsidR="00365EBA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02814D71" w14:textId="77777777" w:rsidR="00365EBA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3584929C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60%</w:t>
            </w:r>
          </w:p>
        </w:tc>
      </w:tr>
      <w:tr w:rsidR="00D821CB" w14:paraId="2E996A02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C332E3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16.2.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A83ED67" w14:textId="77777777" w:rsidR="00365EBA" w:rsidRPr="00395D65" w:rsidRDefault="009D056A" w:rsidP="00365EB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Nepokriveni ili pokriveni sportski tereni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32377870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0,51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5142972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186BC34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5,5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68EEDCCC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0CEA2BD0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8497C8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lastRenderedPageBreak/>
              <w:t>16.3.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FBFB151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Otvoreni parking prostori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08024C3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0,37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B32A103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057D16C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4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0409F43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6B288E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58771D6D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9F7187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16.4.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5D30CE8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Bašte i terase ugostiteljskih objekata 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5CA2D0FC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0,93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6D382FEE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F93BC3E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01A956E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6B288E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72DBCC51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CB0CC11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16.5.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5919BF0" w14:textId="77777777" w:rsidR="000214FA" w:rsidRPr="00395D65" w:rsidRDefault="009D056A" w:rsidP="000214FA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 xml:space="preserve">Nepokrivene ili pokrivene otvorene površine privrednih društava i preduzetnika, iz djelatnosti: rudarstva, energetike, </w:t>
            </w: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drvoprerade  i dr.)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183874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0,09</w:t>
            </w:r>
            <w:r w:rsidR="00871A73">
              <w:rPr>
                <w:rFonts w:ascii="Verdana" w:eastAsia="Calibri" w:hAnsi="Verdana" w:cs="Times New Roman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color w:val="000000"/>
              </w:rPr>
              <w:t>€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3A940F" w14:textId="77777777" w:rsidR="000214FA" w:rsidRPr="00395D65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6C4EB5B9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1,0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9E75D7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341B87DB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1,0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37B2BA" w14:textId="77777777" w:rsidR="000214FA" w:rsidRDefault="000214F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  <w:p w14:paraId="36D05F10" w14:textId="77777777" w:rsidR="000214FA" w:rsidRPr="00395D65" w:rsidRDefault="009D056A" w:rsidP="000214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6B288E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0%</w:t>
            </w:r>
          </w:p>
        </w:tc>
      </w:tr>
      <w:tr w:rsidR="00D821CB" w14:paraId="4B75EB76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753A21A7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17.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22A08F7" w14:textId="77777777" w:rsidR="00365EBA" w:rsidRPr="00395D65" w:rsidRDefault="009D056A" w:rsidP="00365EB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  <w:t>OSTALI KORISNICI USLUGA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A6CAF7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C53A66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5E3EA3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95B60D" w14:textId="77777777" w:rsidR="00365EBA" w:rsidRPr="00395D65" w:rsidRDefault="00365EB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</w:p>
        </w:tc>
      </w:tr>
      <w:tr w:rsidR="00D821CB" w14:paraId="4ABAF64C" w14:textId="77777777" w:rsidTr="000214FA">
        <w:trPr>
          <w:jc w:val="center"/>
        </w:trPr>
        <w:tc>
          <w:tcPr>
            <w:tcW w:w="1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5D6E670" w14:textId="77777777" w:rsidR="00365EBA" w:rsidRPr="00395D65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395D65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17.1.</w:t>
            </w:r>
          </w:p>
        </w:tc>
        <w:tc>
          <w:tcPr>
            <w:tcW w:w="3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052FEA0" w14:textId="77777777" w:rsidR="00365EBA" w:rsidRPr="00395D65" w:rsidRDefault="009D056A" w:rsidP="00365EBA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Radničke spavaone</w:t>
            </w:r>
          </w:p>
        </w:tc>
        <w:tc>
          <w:tcPr>
            <w:tcW w:w="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FF12D9" w14:textId="77777777" w:rsidR="00365EBA" w:rsidRPr="00C1070D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1070D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0,19</w:t>
            </w:r>
          </w:p>
        </w:tc>
        <w:tc>
          <w:tcPr>
            <w:tcW w:w="1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82D6B1" w14:textId="77777777" w:rsidR="00365EBA" w:rsidRPr="00C1070D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1070D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5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1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72FF32" w14:textId="77777777" w:rsidR="00365EBA" w:rsidRPr="00C1070D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1070D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2</w:t>
            </w:r>
            <w:r w:rsidR="00343052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,00</w:t>
            </w: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B4F22A" w14:textId="77777777" w:rsidR="00365EBA" w:rsidRPr="00C1070D" w:rsidRDefault="009D056A" w:rsidP="00365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"/>
              </w:rPr>
            </w:pPr>
            <w:r w:rsidRPr="00C1070D">
              <w:rPr>
                <w:rFonts w:ascii="Verdana" w:eastAsia="Calibri" w:hAnsi="Verdana" w:cs="Times New Roman"/>
                <w:sz w:val="20"/>
                <w:szCs w:val="20"/>
                <w:lang w:val=""/>
              </w:rPr>
              <w:t>60%</w:t>
            </w:r>
          </w:p>
        </w:tc>
      </w:tr>
    </w:tbl>
    <w:p w14:paraId="01878E91" w14:textId="77777777" w:rsidR="00395D65" w:rsidRPr="00395D65" w:rsidRDefault="00395D65" w:rsidP="00395D65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14:paraId="4874F2B1" w14:textId="77777777" w:rsidR="00395D65" w:rsidRPr="00C1070D" w:rsidRDefault="009D056A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1070D">
        <w:rPr>
          <w:rFonts w:ascii="Times New Roman" w:eastAsia="Calibri" w:hAnsi="Times New Roman" w:cs="Times New Roman"/>
          <w:b/>
          <w:bCs/>
        </w:rPr>
        <w:t>Član 4.</w:t>
      </w:r>
    </w:p>
    <w:p w14:paraId="498F5BF9" w14:textId="77777777" w:rsidR="00395D65" w:rsidRPr="00395D65" w:rsidRDefault="009D056A" w:rsidP="006B7B69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70D">
        <w:rPr>
          <w:rFonts w:ascii="Times New Roman" w:eastAsia="Calibri" w:hAnsi="Times New Roman" w:cs="Times New Roman"/>
          <w:sz w:val="24"/>
          <w:szCs w:val="24"/>
        </w:rPr>
        <w:t>Kategorije korisnika komunalne usluge upravljanja otpadom (</w:t>
      </w:r>
      <w:r w:rsidRPr="00C1070D">
        <w:rPr>
          <w:rFonts w:ascii="Times New Roman" w:eastAsia="Calibri" w:hAnsi="Times New Roman" w:cs="Times New Roman"/>
          <w:sz w:val="24"/>
          <w:szCs w:val="24"/>
          <w:lang w:val=""/>
        </w:rPr>
        <w:t>sakupljanja, transporta i zbrinjavanja komunalnog otpada)</w:t>
      </w:r>
      <w:r w:rsidRPr="00C1070D">
        <w:rPr>
          <w:rFonts w:ascii="Times New Roman" w:eastAsia="Calibri" w:hAnsi="Times New Roman" w:cs="Times New Roman"/>
          <w:sz w:val="24"/>
          <w:szCs w:val="24"/>
        </w:rPr>
        <w:t xml:space="preserve">, koje </w:t>
      </w:r>
      <w:r w:rsidRPr="00C1070D">
        <w:rPr>
          <w:rFonts w:ascii="Times New Roman" w:eastAsia="Calibri" w:hAnsi="Times New Roman" w:cs="Times New Roman"/>
          <w:sz w:val="24"/>
          <w:szCs w:val="24"/>
        </w:rPr>
        <w:t>nisu obuhvaćene članom 3 ove Odluke, obračunavaće se po cijenama koje su najsrodnije vrstama obuhvaćenih djelatnosti.</w:t>
      </w:r>
    </w:p>
    <w:p w14:paraId="1BC84570" w14:textId="77777777" w:rsidR="00395D65" w:rsidRPr="00395D65" w:rsidRDefault="009D056A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5D65">
        <w:rPr>
          <w:rFonts w:ascii="Times New Roman" w:eastAsia="Calibri" w:hAnsi="Times New Roman" w:cs="Times New Roman"/>
          <w:b/>
          <w:bCs/>
        </w:rPr>
        <w:t xml:space="preserve"> Član 5.</w:t>
      </w:r>
    </w:p>
    <w:p w14:paraId="6D1C9554" w14:textId="77777777" w:rsidR="00395D65" w:rsidRPr="00395D65" w:rsidRDefault="009D056A" w:rsidP="00395D6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Izuzetno od člana 3 ove Odluke, ukoliko korisnik usluge i vršilac komunalne djelatnosti iskažu obostrani interes ili u situaciji kada se obračun komunalne usluge ne može izvršiti na osnovu površine objekta, obračun komunalne usluge </w:t>
      </w:r>
      <w:bookmarkStart w:id="0" w:name="_Hlk211351789"/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upravljanja otpada </w:t>
      </w:r>
      <w:bookmarkEnd w:id="0"/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vršić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e se na osnovu zapremine predatog komunalnog otpada, na način kako slijedi:</w:t>
      </w:r>
    </w:p>
    <w:p w14:paraId="7C99A7D4" w14:textId="77777777" w:rsidR="00395D65" w:rsidRPr="00395D65" w:rsidRDefault="00395D65" w:rsidP="00395D6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"/>
        </w:rPr>
      </w:pPr>
    </w:p>
    <w:tbl>
      <w:tblPr>
        <w:tblStyle w:val="TableGrid1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0"/>
        <w:gridCol w:w="1950"/>
        <w:gridCol w:w="2130"/>
        <w:gridCol w:w="2130"/>
      </w:tblGrid>
      <w:tr w:rsidR="00D821CB" w14:paraId="4B2A5DD2" w14:textId="77777777" w:rsidTr="00395D65">
        <w:trPr>
          <w:trHeight w:val="480"/>
          <w:jc w:val="center"/>
        </w:trPr>
        <w:tc>
          <w:tcPr>
            <w:tcW w:w="2310" w:type="dxa"/>
            <w:shd w:val="clear" w:color="auto" w:fill="FABF8F"/>
          </w:tcPr>
          <w:p w14:paraId="2DC87B02" w14:textId="77777777" w:rsidR="00395D65" w:rsidRPr="00395D65" w:rsidRDefault="009D056A" w:rsidP="00395D6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Tip kontejnera (zapremina u l)</w:t>
            </w:r>
          </w:p>
        </w:tc>
        <w:tc>
          <w:tcPr>
            <w:tcW w:w="1950" w:type="dxa"/>
            <w:shd w:val="clear" w:color="auto" w:fill="FABF8F"/>
          </w:tcPr>
          <w:p w14:paraId="7F23D377" w14:textId="77777777" w:rsidR="00395D65" w:rsidRPr="00395D65" w:rsidRDefault="009D056A" w:rsidP="00395D6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1,1m</w:t>
            </w: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  <w:p w14:paraId="1C7470F9" w14:textId="77777777" w:rsidR="00395D65" w:rsidRPr="00395D65" w:rsidRDefault="009D056A" w:rsidP="00395D6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V= 1.100 l</w:t>
            </w:r>
          </w:p>
        </w:tc>
        <w:tc>
          <w:tcPr>
            <w:tcW w:w="2130" w:type="dxa"/>
            <w:shd w:val="clear" w:color="auto" w:fill="FABF8F"/>
          </w:tcPr>
          <w:p w14:paraId="3A1EB3EF" w14:textId="77777777" w:rsidR="00395D65" w:rsidRPr="00395D65" w:rsidRDefault="009D056A" w:rsidP="00395D6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5m</w:t>
            </w: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  <w:p w14:paraId="46E9A97F" w14:textId="77777777" w:rsidR="00395D65" w:rsidRPr="00395D65" w:rsidRDefault="009D056A" w:rsidP="00395D6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V= 5.000 l</w:t>
            </w:r>
          </w:p>
        </w:tc>
        <w:tc>
          <w:tcPr>
            <w:tcW w:w="2130" w:type="dxa"/>
            <w:shd w:val="clear" w:color="auto" w:fill="FABF8F"/>
          </w:tcPr>
          <w:p w14:paraId="0D184688" w14:textId="77777777" w:rsidR="00395D65" w:rsidRPr="00395D65" w:rsidRDefault="009D056A" w:rsidP="00395D6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7m</w:t>
            </w: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  <w:p w14:paraId="77567744" w14:textId="77777777" w:rsidR="00395D65" w:rsidRPr="00395D65" w:rsidRDefault="009D056A" w:rsidP="00395D6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V= 7.000 l</w:t>
            </w:r>
          </w:p>
        </w:tc>
      </w:tr>
      <w:tr w:rsidR="00D821CB" w14:paraId="3617EFBF" w14:textId="77777777" w:rsidTr="00EF717E">
        <w:trPr>
          <w:trHeight w:val="269"/>
          <w:jc w:val="center"/>
        </w:trPr>
        <w:tc>
          <w:tcPr>
            <w:tcW w:w="2310" w:type="dxa"/>
            <w:shd w:val="clear" w:color="auto" w:fill="F2E198"/>
          </w:tcPr>
          <w:p w14:paraId="335E0D58" w14:textId="77777777" w:rsidR="00395D65" w:rsidRPr="00395D65" w:rsidRDefault="009D056A" w:rsidP="00395D6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u €</w:t>
            </w:r>
          </w:p>
        </w:tc>
        <w:tc>
          <w:tcPr>
            <w:tcW w:w="1950" w:type="dxa"/>
            <w:shd w:val="clear" w:color="auto" w:fill="F2E198"/>
          </w:tcPr>
          <w:p w14:paraId="3A32AA75" w14:textId="77777777" w:rsidR="00395D65" w:rsidRPr="00395D65" w:rsidRDefault="009D056A" w:rsidP="00395D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29,70</w:t>
            </w:r>
          </w:p>
        </w:tc>
        <w:tc>
          <w:tcPr>
            <w:tcW w:w="2130" w:type="dxa"/>
            <w:shd w:val="clear" w:color="auto" w:fill="F2E198"/>
          </w:tcPr>
          <w:p w14:paraId="44C21AE7" w14:textId="77777777" w:rsidR="00395D65" w:rsidRPr="00395D65" w:rsidRDefault="009D056A" w:rsidP="00395D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135,00</w:t>
            </w:r>
          </w:p>
        </w:tc>
        <w:tc>
          <w:tcPr>
            <w:tcW w:w="2130" w:type="dxa"/>
            <w:shd w:val="clear" w:color="auto" w:fill="F2E198"/>
          </w:tcPr>
          <w:p w14:paraId="658EE5EF" w14:textId="77777777" w:rsidR="00395D65" w:rsidRPr="00395D65" w:rsidRDefault="009D056A" w:rsidP="00395D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189,00</w:t>
            </w:r>
          </w:p>
        </w:tc>
      </w:tr>
    </w:tbl>
    <w:p w14:paraId="4F5537C5" w14:textId="77777777" w:rsidR="00395D65" w:rsidRPr="00395D65" w:rsidRDefault="00395D65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349620D" w14:textId="77777777" w:rsidR="00395D65" w:rsidRPr="00395D65" w:rsidRDefault="009D056A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"/>
        </w:rPr>
      </w:pPr>
      <w:r w:rsidRPr="00395D65">
        <w:rPr>
          <w:rFonts w:ascii="Times New Roman" w:eastAsia="Calibri" w:hAnsi="Times New Roman" w:cs="Times New Roman"/>
          <w:b/>
          <w:lang w:val=""/>
        </w:rPr>
        <w:t>Član 6.</w:t>
      </w:r>
    </w:p>
    <w:p w14:paraId="01434C44" w14:textId="77777777" w:rsidR="00395D65" w:rsidRPr="00395D65" w:rsidRDefault="009D056A" w:rsidP="00395D6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Korisnik komunalne usluge dužan je obavijestiti vršioca komunalne usluge o svim promjenama u vezi sa nepokretnostima (promjene površine stambenog ili poslovnog prostora, promjene vlasništva i sl.) najkasnije 30 (trideset) dana od dana promjene radi blagovr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emenog obračuna cijene komunalne usluge. </w:t>
      </w:r>
    </w:p>
    <w:p w14:paraId="0DD18162" w14:textId="77777777" w:rsidR="00395D65" w:rsidRPr="00395D65" w:rsidRDefault="009D056A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b/>
          <w:lang w:val=""/>
        </w:rPr>
        <w:t>Član 7.</w:t>
      </w:r>
    </w:p>
    <w:p w14:paraId="395D3451" w14:textId="77777777" w:rsidR="00395D65" w:rsidRDefault="009D056A" w:rsidP="005861C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Usluge odvoza otpada, čišćenja i pranja javnih površina na kojima se organizuju javne manifestacije se ugovoraju između organizatora manifestacije i Društva kao pružaoca komunalne usluge.</w:t>
      </w:r>
    </w:p>
    <w:p w14:paraId="47ACD0BE" w14:textId="77777777" w:rsidR="00215006" w:rsidRPr="00395D65" w:rsidRDefault="00215006" w:rsidP="005861C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</w:p>
    <w:p w14:paraId="4BD0EBEE" w14:textId="77777777" w:rsidR="00395D65" w:rsidRPr="00395D65" w:rsidRDefault="009D056A" w:rsidP="00757B57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lang w:val=""/>
        </w:rPr>
      </w:pPr>
      <w:r w:rsidRPr="00395D65">
        <w:rPr>
          <w:rFonts w:ascii="Times New Roman" w:eastAsia="Calibri" w:hAnsi="Times New Roman" w:cs="Times New Roman"/>
          <w:b/>
          <w:bCs/>
          <w:lang w:val=""/>
        </w:rPr>
        <w:lastRenderedPageBreak/>
        <w:t>Član 8.</w:t>
      </w:r>
    </w:p>
    <w:p w14:paraId="28F7DA4F" w14:textId="77777777" w:rsidR="00E44CAF" w:rsidRPr="00E44CAF" w:rsidRDefault="009D056A" w:rsidP="00E44CA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U</w:t>
      </w:r>
      <w:r w:rsidRPr="00E44CAF">
        <w:rPr>
          <w:rFonts w:ascii="Calibri" w:eastAsia="Calibri" w:hAnsi="Calibri" w:cs="Times New Roman"/>
        </w:rPr>
        <w:t xml:space="preserve"> </w:t>
      </w:r>
      <w:r w:rsidRPr="00E44CAF">
        <w:rPr>
          <w:rFonts w:ascii="Times New Roman" w:eastAsia="Calibri" w:hAnsi="Times New Roman" w:cs="Times New Roman"/>
          <w:sz w:val="24"/>
          <w:szCs w:val="24"/>
          <w:lang w:val=""/>
        </w:rPr>
        <w:t xml:space="preserve">U </w:t>
      </w:r>
      <w:r w:rsidRPr="00E44CAF">
        <w:rPr>
          <w:rFonts w:ascii="Times New Roman" w:eastAsia="Calibri" w:hAnsi="Times New Roman" w:cs="Times New Roman"/>
          <w:sz w:val="24"/>
          <w:szCs w:val="24"/>
          <w:lang w:val=""/>
        </w:rPr>
        <w:t>cilju održavanja funkcionalnosti komunalnog sistema i objekata, vlasnici nepokretnosti su u obavezi da, i za period kada nepokretnost nije u upotrebi, plaćaju fiksni i 50% varijabilnog dijela cijene komunalne usluge upravljanja komunalnim otpadom (sakuplja</w:t>
      </w:r>
      <w:r w:rsidRPr="00E44CAF">
        <w:rPr>
          <w:rFonts w:ascii="Times New Roman" w:eastAsia="Calibri" w:hAnsi="Times New Roman" w:cs="Times New Roman"/>
          <w:sz w:val="24"/>
          <w:szCs w:val="24"/>
          <w:lang w:val=""/>
        </w:rPr>
        <w:t>nje, odvoz i zbrinjavanje komunalnog otpada), u iznosu utvrđenom ovom Odlukom.</w:t>
      </w:r>
    </w:p>
    <w:p w14:paraId="477EE22A" w14:textId="77777777" w:rsidR="00E44CAF" w:rsidRPr="00E44CAF" w:rsidRDefault="009D056A" w:rsidP="00E44CA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E44CAF">
        <w:rPr>
          <w:rFonts w:ascii="Times New Roman" w:eastAsia="Calibri" w:hAnsi="Times New Roman" w:cs="Times New Roman"/>
          <w:sz w:val="24"/>
          <w:szCs w:val="24"/>
          <w:lang w:val=""/>
        </w:rPr>
        <w:t>Korisnik usluge koji ne koristi nepokretnost u cjelini, u neprekidnom trajanju od najmanje 30 (trideset) dana, ima pravo da podnese zahtjev za obračun cijene komunalne usluge sa</w:t>
      </w:r>
      <w:r w:rsidRPr="00E44CAF">
        <w:rPr>
          <w:rFonts w:ascii="Times New Roman" w:eastAsia="Calibri" w:hAnsi="Times New Roman" w:cs="Times New Roman"/>
          <w:sz w:val="24"/>
          <w:szCs w:val="24"/>
          <w:lang w:val=""/>
        </w:rPr>
        <w:t>mo po osnovu definisanog u stavu 1 ovog člana, uz prilaganje dokaza (računi ili uvjerenja nadležnih subjekata) da u tom periodu nije vršena isporuka električne energije i vode za nepokretnost (ako postoji), ili drugog akta nadležnog organa kojim se dokazuj</w:t>
      </w:r>
      <w:r w:rsidRPr="00E44CAF">
        <w:rPr>
          <w:rFonts w:ascii="Times New Roman" w:eastAsia="Calibri" w:hAnsi="Times New Roman" w:cs="Times New Roman"/>
          <w:sz w:val="24"/>
          <w:szCs w:val="24"/>
          <w:lang w:val=""/>
        </w:rPr>
        <w:t>e prestanak korišćenja nepokretnosti.</w:t>
      </w:r>
    </w:p>
    <w:p w14:paraId="69B73A73" w14:textId="77777777" w:rsidR="00E44CAF" w:rsidRDefault="009D056A" w:rsidP="00E44CA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E44CAF">
        <w:rPr>
          <w:rFonts w:ascii="Times New Roman" w:eastAsia="Calibri" w:hAnsi="Times New Roman" w:cs="Times New Roman"/>
          <w:sz w:val="24"/>
          <w:szCs w:val="24"/>
          <w:lang w:val=""/>
        </w:rPr>
        <w:t>Vršioc komunalne djelatnosti rješenjem utvrđuje pravo korisnika na obračun cijene komunalne usluge za period u kojem se nepokretnost nije koristila, i izvršava korekciju obračuna najviše za šest (6) mjeseci retroaktivn</w:t>
      </w:r>
      <w:r w:rsidRPr="00E44CAF">
        <w:rPr>
          <w:rFonts w:ascii="Times New Roman" w:eastAsia="Calibri" w:hAnsi="Times New Roman" w:cs="Times New Roman"/>
          <w:sz w:val="24"/>
          <w:szCs w:val="24"/>
          <w:lang w:val=""/>
        </w:rPr>
        <w:t>o računajući od dana podnošenja zahtjeva.</w:t>
      </w:r>
    </w:p>
    <w:p w14:paraId="354A3BC6" w14:textId="77777777" w:rsidR="00A264FB" w:rsidRDefault="00A264FB" w:rsidP="00E44CA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</w:p>
    <w:p w14:paraId="7BE3E747" w14:textId="77777777" w:rsidR="00A264FB" w:rsidRPr="007621C2" w:rsidRDefault="009D056A" w:rsidP="00A264FB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"/>
        </w:rPr>
      </w:pPr>
      <w:r w:rsidRPr="007621C2">
        <w:rPr>
          <w:rFonts w:ascii="Times New Roman" w:eastAsia="Calibri" w:hAnsi="Times New Roman" w:cs="Times New Roman"/>
          <w:b/>
          <w:bCs/>
          <w:sz w:val="24"/>
          <w:szCs w:val="24"/>
          <w:lang w:val=""/>
        </w:rPr>
        <w:t>Član 8a</w:t>
      </w:r>
      <w:r w:rsidR="00FA1403">
        <w:rPr>
          <w:rFonts w:ascii="Times New Roman" w:eastAsia="Calibri" w:hAnsi="Times New Roman" w:cs="Times New Roman"/>
          <w:b/>
          <w:bCs/>
          <w:sz w:val="24"/>
          <w:szCs w:val="24"/>
          <w:lang w:val=""/>
        </w:rPr>
        <w:t>.</w:t>
      </w:r>
    </w:p>
    <w:p w14:paraId="712C9284" w14:textId="77777777" w:rsidR="00A264FB" w:rsidRPr="00A264FB" w:rsidRDefault="009D056A" w:rsidP="00A264FB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"/>
        </w:rPr>
      </w:pP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>Sezonskim objektom (</w:t>
      </w:r>
      <w:r w:rsidRPr="00A264FB">
        <w:rPr>
          <w:rFonts w:ascii="Times New Roman" w:eastAsia="Calibri" w:hAnsi="Times New Roman" w:cs="Times New Roman"/>
          <w:bCs/>
          <w:sz w:val="24"/>
          <w:szCs w:val="24"/>
        </w:rPr>
        <w:t>objekat koji nije u upotrebi u kontinuitetu</w:t>
      </w: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 xml:space="preserve">), u smislu ove Odluke, smatra se stambena nepokretnost koja se ne koristi za stalno stanovanje niti se izdaje, već se koristi </w:t>
      </w: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>isključivo povremeno, odnosno sezonski (vikendice, kuće za odmor i sl.).</w:t>
      </w:r>
    </w:p>
    <w:p w14:paraId="55FDB861" w14:textId="77777777" w:rsidR="00A264FB" w:rsidRPr="00A264FB" w:rsidRDefault="009D056A" w:rsidP="00A264FB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"/>
        </w:rPr>
      </w:pP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>Vlasnik sezonskog objekta ima pravo na obračun cijene komunalne usluge upravljanja komunalnim otpadom tako što plaća fiksni dio cijene u punom iznosu, a varijabilni dio cijene umanjen</w:t>
      </w: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 xml:space="preserve"> za 50% u toku cijele kalendarske godine.</w:t>
      </w:r>
    </w:p>
    <w:p w14:paraId="019746C5" w14:textId="77777777" w:rsidR="00A264FB" w:rsidRPr="00A264FB" w:rsidRDefault="009D056A" w:rsidP="00A264FB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"/>
        </w:rPr>
      </w:pP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 xml:space="preserve">Status sezonskog objekta utvrđuje se rješenjem vršioca komunalne djelatnosti, na osnovu pisanog zahtjeva korisnika usluge i dokaza o načinu korišćenja nepokretnosti (računi isporučioca električne energije i vode i </w:t>
      </w: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>drugi relevantni dokazi), pri čemu se ostvarena potrošnja cijeni u odnosu na tipičnu potrošnju objekata iste namjene i kvadrature.</w:t>
      </w:r>
    </w:p>
    <w:p w14:paraId="2382ABC4" w14:textId="77777777" w:rsidR="00A264FB" w:rsidRPr="00A264FB" w:rsidRDefault="009D056A" w:rsidP="00A264FB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"/>
        </w:rPr>
      </w:pP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>Pravo na povlašćen obračuna iz prethodno navedenog, počinje se primjenjivati od prvog narednog obračunskog perioda nakon dono</w:t>
      </w: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>šenja rješenja, uz obavezu korisnika da jednom godišnje, najkasnije do kraja prvog kvartala tekuće godine za prethodnu godinu, dostavi vršiocu komunalne djelatnosti nove dokaze o načinu korišćenja nepokretnosti i potrošnji električne energije i vode. Ukoli</w:t>
      </w: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>ko korisnik ne dostavi dokaze u ostavljenom roku, ili se iz dostavljenih dokaza utvrdi da se nepokretnost koristila kao osnovno stanovanje ili za izdavanje, vršioc komunalne djelatnosti donijeće rješenje o prestanku statusa sezonskog objekta i obračunavati</w:t>
      </w: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 xml:space="preserve"> cijenu komunalne usluge po redovnoj tarifi, počev od prvog narednog obračunskog perioda.</w:t>
      </w:r>
    </w:p>
    <w:p w14:paraId="67043A85" w14:textId="77777777" w:rsidR="00A264FB" w:rsidRPr="00A264FB" w:rsidRDefault="009D056A" w:rsidP="00A264FB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"/>
        </w:rPr>
      </w:pP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 xml:space="preserve">Korisnik koji ima status sezonskog objekta dužan je da najkasnije u roku od sedam (7) dana od dana nastupanja promjene (početak stalnog korišćenja, davanje u zakup i </w:t>
      </w:r>
      <w:r w:rsidRPr="00A264FB">
        <w:rPr>
          <w:rFonts w:ascii="Times New Roman" w:eastAsia="Calibri" w:hAnsi="Times New Roman" w:cs="Times New Roman"/>
          <w:bCs/>
          <w:sz w:val="24"/>
          <w:szCs w:val="24"/>
          <w:lang w:val=""/>
        </w:rPr>
        <w:t>sl.) obavijesti vršioca komunalne djelatnosti radi izmjene obračuna cijene komunalne usluge.</w:t>
      </w:r>
    </w:p>
    <w:p w14:paraId="2845EE20" w14:textId="77777777" w:rsidR="00A264FB" w:rsidRDefault="00A264FB" w:rsidP="00E44CA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</w:p>
    <w:p w14:paraId="1DCD0FB4" w14:textId="77777777" w:rsidR="00395D65" w:rsidRPr="00395D65" w:rsidRDefault="009D056A" w:rsidP="00E44CAF">
      <w:pPr>
        <w:spacing w:after="120" w:line="276" w:lineRule="auto"/>
        <w:jc w:val="center"/>
        <w:rPr>
          <w:rFonts w:ascii="Times New Roman" w:eastAsia="Calibri" w:hAnsi="Times New Roman" w:cs="Times New Roman"/>
          <w:b/>
          <w:lang w:val=""/>
        </w:rPr>
      </w:pPr>
      <w:r w:rsidRPr="00395D65">
        <w:rPr>
          <w:rFonts w:ascii="Times New Roman" w:eastAsia="Calibri" w:hAnsi="Times New Roman" w:cs="Times New Roman"/>
          <w:b/>
          <w:lang w:val=""/>
        </w:rPr>
        <w:t>Član 9.</w:t>
      </w:r>
    </w:p>
    <w:p w14:paraId="5EE02A34" w14:textId="77777777" w:rsidR="00395D65" w:rsidRPr="00395D65" w:rsidRDefault="009D056A" w:rsidP="005861C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Cijena komunalne usluge upravljanja otpadom, utvrđena  članom 3. ove Odluke, za korisnike koji ne spadaju u kategoriju fizičkih lica, umanjiće se za pojed</w:t>
      </w: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iine kategorije djelatnosti, na sledeći način: </w:t>
      </w:r>
    </w:p>
    <w:p w14:paraId="58C00779" w14:textId="77777777" w:rsidR="006F07E7" w:rsidRPr="006F07E7" w:rsidRDefault="009D056A" w:rsidP="006F07E7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6F07E7">
        <w:rPr>
          <w:rFonts w:ascii="Times New Roman" w:eastAsia="Calibri" w:hAnsi="Times New Roman" w:cs="Times New Roman"/>
          <w:sz w:val="24"/>
          <w:szCs w:val="24"/>
          <w:lang w:val=""/>
        </w:rPr>
        <w:t>Cijena usluge upravljanja komunalnim otpadom, za korisnike usluge iz kategorije:</w:t>
      </w:r>
      <w:r w:rsidRPr="006F07E7">
        <w:rPr>
          <w:rFonts w:ascii="Times New Roman" w:eastAsia="Calibri" w:hAnsi="Times New Roman" w:cs="Times New Roman"/>
          <w:sz w:val="24"/>
          <w:szCs w:val="24"/>
          <w:lang w:val=""/>
        </w:rPr>
        <w:br/>
        <w:t xml:space="preserve">16.1. </w:t>
      </w:r>
      <w:r w:rsidRPr="006F07E7">
        <w:rPr>
          <w:rFonts w:ascii="Times New Roman" w:eastAsia="Calibri" w:hAnsi="Times New Roman" w:cs="Times New Roman"/>
          <w:b/>
          <w:bCs/>
          <w:sz w:val="24"/>
          <w:szCs w:val="24"/>
          <w:lang w:val=""/>
        </w:rPr>
        <w:t>Otvorene površine</w:t>
      </w:r>
      <w:r w:rsidRPr="006F07E7">
        <w:rPr>
          <w:rFonts w:ascii="Times New Roman" w:eastAsia="Calibri" w:hAnsi="Times New Roman" w:cs="Times New Roman"/>
          <w:sz w:val="24"/>
          <w:szCs w:val="24"/>
          <w:lang w:val=""/>
        </w:rPr>
        <w:t xml:space="preserve">, koji imaju kvadrature od 1000 m2 do 4999 m2, umanjiće se za 60%, dok za kvadrature od 5000m2, </w:t>
      </w:r>
      <w:r w:rsidRPr="006F07E7">
        <w:rPr>
          <w:rFonts w:ascii="Times New Roman" w:eastAsia="Calibri" w:hAnsi="Times New Roman" w:cs="Times New Roman"/>
          <w:sz w:val="24"/>
          <w:szCs w:val="24"/>
          <w:lang w:val=""/>
        </w:rPr>
        <w:t>smanjiće se 70%</w:t>
      </w:r>
    </w:p>
    <w:p w14:paraId="59EB8D17" w14:textId="77777777" w:rsidR="00395D65" w:rsidRPr="00395D65" w:rsidRDefault="00395D65" w:rsidP="00395D65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lang w:val=""/>
        </w:rPr>
      </w:pPr>
    </w:p>
    <w:p w14:paraId="3C9086EB" w14:textId="77777777" w:rsidR="00395D65" w:rsidRPr="00395D65" w:rsidRDefault="00395D65" w:rsidP="00395D65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"/>
        </w:rPr>
      </w:pPr>
    </w:p>
    <w:p w14:paraId="0F94BDDD" w14:textId="77777777" w:rsidR="00395D65" w:rsidRPr="00395D65" w:rsidRDefault="009D056A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"/>
        </w:rPr>
      </w:pPr>
      <w:r w:rsidRPr="00395D65">
        <w:rPr>
          <w:rFonts w:ascii="Times New Roman" w:eastAsia="Calibri" w:hAnsi="Times New Roman" w:cs="Times New Roman"/>
          <w:b/>
          <w:lang w:val=""/>
        </w:rPr>
        <w:t>Član 10.</w:t>
      </w:r>
    </w:p>
    <w:p w14:paraId="58448E9E" w14:textId="77777777" w:rsidR="00395D65" w:rsidRDefault="009D056A" w:rsidP="0030791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D65">
        <w:rPr>
          <w:rFonts w:ascii="Times New Roman" w:eastAsia="Calibri" w:hAnsi="Times New Roman" w:cs="Times New Roman"/>
          <w:sz w:val="24"/>
          <w:szCs w:val="24"/>
        </w:rPr>
        <w:t>Posebnom Odlukom Odbora direktora, regulisaće se način i uslovi odloženog izmirenja obaveza korisnika usluga.</w:t>
      </w:r>
    </w:p>
    <w:p w14:paraId="59201A3D" w14:textId="77777777" w:rsidR="00307912" w:rsidRPr="00395D65" w:rsidRDefault="00307912" w:rsidP="0030791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9B8401" w14:textId="77777777" w:rsidR="00395D65" w:rsidRPr="00395D65" w:rsidRDefault="009D056A" w:rsidP="00395D65">
      <w:pPr>
        <w:spacing w:after="120" w:line="240" w:lineRule="auto"/>
        <w:jc w:val="center"/>
        <w:rPr>
          <w:rFonts w:ascii="Times New Roman" w:eastAsia="Calibri" w:hAnsi="Times New Roman" w:cs="Times New Roman"/>
          <w:b/>
          <w:lang w:val=""/>
        </w:rPr>
      </w:pPr>
      <w:r w:rsidRPr="00395D65">
        <w:rPr>
          <w:rFonts w:ascii="Times New Roman" w:eastAsia="Calibri" w:hAnsi="Times New Roman" w:cs="Times New Roman"/>
          <w:b/>
          <w:lang w:val=""/>
        </w:rPr>
        <w:t>Član 1</w:t>
      </w:r>
      <w:r w:rsidR="006D2115">
        <w:rPr>
          <w:rFonts w:ascii="Times New Roman" w:eastAsia="Calibri" w:hAnsi="Times New Roman" w:cs="Times New Roman"/>
          <w:b/>
          <w:lang w:val=""/>
        </w:rPr>
        <w:t>1</w:t>
      </w:r>
      <w:r w:rsidRPr="00395D65">
        <w:rPr>
          <w:rFonts w:ascii="Times New Roman" w:eastAsia="Calibri" w:hAnsi="Times New Roman" w:cs="Times New Roman"/>
          <w:b/>
          <w:lang w:val=""/>
        </w:rPr>
        <w:t>.</w:t>
      </w:r>
    </w:p>
    <w:p w14:paraId="4C23FF24" w14:textId="77777777" w:rsidR="00BD34E3" w:rsidRPr="005562DC" w:rsidRDefault="009D056A" w:rsidP="005562DC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>Cijene svih komunalnih usluga iskazane su bez pripadajućeg PDV.</w:t>
      </w:r>
    </w:p>
    <w:p w14:paraId="1BFFEDAF" w14:textId="77777777" w:rsidR="00BD34E3" w:rsidRDefault="00BD34E3" w:rsidP="00395D65">
      <w:pPr>
        <w:spacing w:after="120" w:line="240" w:lineRule="auto"/>
        <w:jc w:val="center"/>
        <w:rPr>
          <w:rFonts w:ascii="Times New Roman" w:eastAsia="Calibri" w:hAnsi="Times New Roman" w:cs="Times New Roman"/>
          <w:b/>
          <w:lang w:val=""/>
        </w:rPr>
      </w:pPr>
    </w:p>
    <w:p w14:paraId="444E11BD" w14:textId="77777777" w:rsidR="00395D65" w:rsidRPr="00395D65" w:rsidRDefault="009D056A" w:rsidP="00395D65">
      <w:pPr>
        <w:spacing w:after="120" w:line="240" w:lineRule="auto"/>
        <w:jc w:val="center"/>
        <w:rPr>
          <w:rFonts w:ascii="Times New Roman" w:eastAsia="Calibri" w:hAnsi="Times New Roman" w:cs="Times New Roman"/>
          <w:b/>
          <w:lang w:val=""/>
        </w:rPr>
      </w:pPr>
      <w:r w:rsidRPr="00395D65">
        <w:rPr>
          <w:rFonts w:ascii="Times New Roman" w:eastAsia="Calibri" w:hAnsi="Times New Roman" w:cs="Times New Roman"/>
          <w:b/>
          <w:lang w:val=""/>
        </w:rPr>
        <w:t>Član 1</w:t>
      </w:r>
      <w:r w:rsidR="006D2115" w:rsidRPr="006D621D">
        <w:rPr>
          <w:rFonts w:ascii="Times New Roman" w:eastAsia="Calibri" w:hAnsi="Times New Roman" w:cs="Times New Roman"/>
          <w:b/>
          <w:lang w:val=""/>
        </w:rPr>
        <w:t>2</w:t>
      </w:r>
      <w:r w:rsidRPr="00395D65">
        <w:rPr>
          <w:rFonts w:ascii="Times New Roman" w:eastAsia="Calibri" w:hAnsi="Times New Roman" w:cs="Times New Roman"/>
          <w:b/>
          <w:lang w:val=""/>
        </w:rPr>
        <w:t>.</w:t>
      </w:r>
    </w:p>
    <w:p w14:paraId="020B5E39" w14:textId="77777777" w:rsidR="00395D65" w:rsidRPr="00395D65" w:rsidRDefault="009D056A" w:rsidP="006D621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sz w:val="24"/>
          <w:szCs w:val="24"/>
          <w:lang w:val=""/>
        </w:rPr>
        <w:t xml:space="preserve">Stupanjem na snagu ove Odluke  </w:t>
      </w:r>
      <w:r w:rsidRPr="00493F1A">
        <w:rPr>
          <w:rFonts w:ascii="Times New Roman" w:eastAsia="Calibri" w:hAnsi="Times New Roman" w:cs="Times New Roman"/>
          <w:sz w:val="24"/>
          <w:szCs w:val="24"/>
          <w:lang w:val=""/>
        </w:rPr>
        <w:t>prestaj</w:t>
      </w:r>
      <w:r w:rsidR="00846ABF" w:rsidRPr="00493F1A">
        <w:rPr>
          <w:rFonts w:ascii="Times New Roman" w:eastAsia="Calibri" w:hAnsi="Times New Roman" w:cs="Times New Roman"/>
          <w:sz w:val="24"/>
          <w:szCs w:val="24"/>
          <w:lang w:val=""/>
        </w:rPr>
        <w:t>e</w:t>
      </w:r>
      <w:r w:rsidRPr="00493F1A">
        <w:rPr>
          <w:rFonts w:ascii="Times New Roman" w:eastAsia="Calibri" w:hAnsi="Times New Roman" w:cs="Times New Roman"/>
          <w:sz w:val="24"/>
          <w:szCs w:val="24"/>
          <w:lang w:val=""/>
        </w:rPr>
        <w:t xml:space="preserve"> da važ</w:t>
      </w:r>
      <w:r w:rsidR="00846ABF" w:rsidRPr="00493F1A">
        <w:rPr>
          <w:rFonts w:ascii="Times New Roman" w:eastAsia="Calibri" w:hAnsi="Times New Roman" w:cs="Times New Roman"/>
          <w:sz w:val="24"/>
          <w:szCs w:val="24"/>
          <w:lang w:val=""/>
        </w:rPr>
        <w:t>i</w:t>
      </w:r>
      <w:r w:rsidR="006D621D" w:rsidRPr="00493F1A">
        <w:rPr>
          <w:rFonts w:ascii="Times New Roman" w:eastAsia="Calibri" w:hAnsi="Times New Roman" w:cs="Times New Roman"/>
          <w:sz w:val="24"/>
          <w:szCs w:val="24"/>
          <w:lang w:val=""/>
        </w:rPr>
        <w:t xml:space="preserve"> </w:t>
      </w:r>
      <w:r w:rsidR="00B00829" w:rsidRPr="00493F1A">
        <w:rPr>
          <w:rFonts w:ascii="Times New Roman" w:eastAsia="Calibri" w:hAnsi="Times New Roman" w:cs="Times New Roman"/>
          <w:sz w:val="24"/>
          <w:szCs w:val="24"/>
          <w:lang w:val=""/>
        </w:rPr>
        <w:t>C</w:t>
      </w:r>
      <w:r w:rsidR="006D621D" w:rsidRPr="00493F1A">
        <w:rPr>
          <w:rFonts w:ascii="Times New Roman" w:eastAsia="Calibri" w:hAnsi="Times New Roman" w:cs="Times New Roman"/>
          <w:sz w:val="24"/>
          <w:szCs w:val="24"/>
          <w:lang w:val=""/>
        </w:rPr>
        <w:t>jenovnik usluga skupljanja i odvoza komunalnog otpad</w:t>
      </w:r>
      <w:r w:rsidR="00846ABF" w:rsidRPr="00493F1A">
        <w:rPr>
          <w:rFonts w:ascii="Times New Roman" w:eastAsia="Calibri" w:hAnsi="Times New Roman" w:cs="Times New Roman"/>
          <w:sz w:val="24"/>
          <w:szCs w:val="24"/>
          <w:lang w:val=""/>
        </w:rPr>
        <w:t>a</w:t>
      </w:r>
      <w:r w:rsidR="00846ABF">
        <w:rPr>
          <w:rFonts w:ascii="Times New Roman" w:eastAsia="Calibri" w:hAnsi="Times New Roman" w:cs="Times New Roman"/>
          <w:sz w:val="24"/>
          <w:szCs w:val="24"/>
          <w:lang w:val=""/>
        </w:rPr>
        <w:t xml:space="preserve"> </w:t>
      </w:r>
      <w:r w:rsidR="006D621D" w:rsidRPr="006D621D">
        <w:rPr>
          <w:rFonts w:ascii="Times New Roman" w:eastAsia="Calibri" w:hAnsi="Times New Roman" w:cs="Times New Roman"/>
          <w:sz w:val="24"/>
          <w:szCs w:val="24"/>
          <w:lang w:val=""/>
        </w:rPr>
        <w:t xml:space="preserve"> </w:t>
      </w:r>
      <w:r w:rsidR="006D621D" w:rsidRPr="00395D65">
        <w:rPr>
          <w:rFonts w:ascii="Times New Roman" w:eastAsia="Calibri" w:hAnsi="Times New Roman" w:cs="Times New Roman"/>
          <w:sz w:val="24"/>
          <w:szCs w:val="24"/>
          <w:lang w:val=""/>
        </w:rPr>
        <w:t>Društvo sa ograničenom odgovornošću „Komunalno</w:t>
      </w:r>
      <w:r w:rsidR="006D621D" w:rsidRPr="006D621D">
        <w:rPr>
          <w:rFonts w:ascii="Times New Roman" w:eastAsia="Calibri" w:hAnsi="Times New Roman" w:cs="Times New Roman"/>
          <w:sz w:val="24"/>
          <w:szCs w:val="24"/>
          <w:lang w:val=""/>
        </w:rPr>
        <w:t>/Komunale</w:t>
      </w:r>
      <w:r w:rsidR="006D621D" w:rsidRPr="00395D65">
        <w:rPr>
          <w:rFonts w:ascii="Times New Roman" w:eastAsia="Calibri" w:hAnsi="Times New Roman" w:cs="Times New Roman"/>
          <w:sz w:val="24"/>
          <w:szCs w:val="24"/>
          <w:lang w:val=""/>
        </w:rPr>
        <w:t>“Tuzi</w:t>
      </w:r>
      <w:r w:rsidR="006D621D" w:rsidRPr="006D621D">
        <w:rPr>
          <w:rFonts w:ascii="Times New Roman" w:eastAsia="Calibri" w:hAnsi="Times New Roman" w:cs="Times New Roman"/>
          <w:sz w:val="24"/>
          <w:szCs w:val="24"/>
          <w:lang w:val=""/>
        </w:rPr>
        <w:t xml:space="preserve">, </w:t>
      </w:r>
      <w:r w:rsidR="006D621D" w:rsidRPr="00395D65">
        <w:rPr>
          <w:rFonts w:ascii="Times New Roman" w:eastAsia="Calibri" w:hAnsi="Times New Roman" w:cs="Times New Roman"/>
          <w:lang w:val=""/>
        </w:rPr>
        <w:t>(“Sl.list Crne Gore-opštinski propisi“, br.</w:t>
      </w:r>
      <w:r w:rsidR="006D621D" w:rsidRPr="006D621D">
        <w:rPr>
          <w:rFonts w:ascii="Times New Roman" w:eastAsia="Calibri" w:hAnsi="Times New Roman" w:cs="Times New Roman"/>
          <w:lang w:val=""/>
        </w:rPr>
        <w:t>015/22</w:t>
      </w:r>
      <w:r w:rsidR="006D621D" w:rsidRPr="00395D65">
        <w:rPr>
          <w:rFonts w:ascii="Times New Roman" w:eastAsia="Calibri" w:hAnsi="Times New Roman" w:cs="Times New Roman"/>
          <w:lang w:val=""/>
        </w:rPr>
        <w:t>)</w:t>
      </w:r>
    </w:p>
    <w:p w14:paraId="092A6D07" w14:textId="77777777" w:rsidR="00395D65" w:rsidRPr="00395D65" w:rsidRDefault="009D056A" w:rsidP="00395D65">
      <w:pPr>
        <w:spacing w:after="120" w:line="240" w:lineRule="auto"/>
        <w:jc w:val="center"/>
        <w:rPr>
          <w:rFonts w:ascii="Times New Roman" w:eastAsia="Calibri" w:hAnsi="Times New Roman" w:cs="Times New Roman"/>
          <w:b/>
          <w:lang w:val=""/>
        </w:rPr>
      </w:pPr>
      <w:r w:rsidRPr="00395D65">
        <w:rPr>
          <w:rFonts w:ascii="Times New Roman" w:eastAsia="Calibri" w:hAnsi="Times New Roman" w:cs="Times New Roman"/>
          <w:b/>
          <w:lang w:val=""/>
        </w:rPr>
        <w:t>Član 1</w:t>
      </w:r>
      <w:r w:rsidR="00E834F8">
        <w:rPr>
          <w:rFonts w:ascii="Times New Roman" w:eastAsia="Calibri" w:hAnsi="Times New Roman" w:cs="Times New Roman"/>
          <w:b/>
          <w:lang w:val=""/>
        </w:rPr>
        <w:t>3</w:t>
      </w:r>
      <w:r w:rsidRPr="00395D65">
        <w:rPr>
          <w:rFonts w:ascii="Times New Roman" w:eastAsia="Calibri" w:hAnsi="Times New Roman" w:cs="Times New Roman"/>
          <w:b/>
          <w:lang w:val=""/>
        </w:rPr>
        <w:t>.</w:t>
      </w:r>
    </w:p>
    <w:p w14:paraId="3BA5617D" w14:textId="77777777" w:rsidR="00395D65" w:rsidRPr="00395D65" w:rsidRDefault="009D056A" w:rsidP="00395D65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"/>
        </w:rPr>
      </w:pPr>
      <w:r w:rsidRPr="00C61F7F">
        <w:rPr>
          <w:rFonts w:ascii="Times New Roman" w:eastAsia="Calibri" w:hAnsi="Times New Roman" w:cs="Times New Roman"/>
          <w:sz w:val="24"/>
          <w:szCs w:val="24"/>
          <w:lang w:val=""/>
        </w:rPr>
        <w:t xml:space="preserve">Ova Odluka stupa na snagu </w:t>
      </w:r>
      <w:r w:rsidR="00A76F82">
        <w:rPr>
          <w:rFonts w:ascii="Times New Roman" w:eastAsia="Calibri" w:hAnsi="Times New Roman" w:cs="Times New Roman"/>
          <w:sz w:val="24"/>
          <w:szCs w:val="24"/>
          <w:lang w:val=""/>
        </w:rPr>
        <w:t>danom</w:t>
      </w:r>
      <w:r w:rsidRPr="00C61F7F">
        <w:rPr>
          <w:rFonts w:ascii="Times New Roman" w:eastAsia="Calibri" w:hAnsi="Times New Roman" w:cs="Times New Roman"/>
          <w:sz w:val="24"/>
          <w:szCs w:val="24"/>
          <w:lang w:val=""/>
        </w:rPr>
        <w:t xml:space="preserve"> objavljivanja </w:t>
      </w:r>
      <w:bookmarkStart w:id="1" w:name="_Hlk151988750"/>
      <w:r w:rsidRPr="00C61F7F">
        <w:rPr>
          <w:rFonts w:ascii="Times New Roman" w:eastAsia="Calibri" w:hAnsi="Times New Roman" w:cs="Times New Roman"/>
          <w:sz w:val="24"/>
          <w:szCs w:val="24"/>
          <w:lang w:val=""/>
        </w:rPr>
        <w:t>Odluke Skupštine Opš</w:t>
      </w:r>
      <w:r w:rsidR="00761BB2" w:rsidRPr="00C61F7F">
        <w:rPr>
          <w:rFonts w:ascii="Times New Roman" w:eastAsia="Calibri" w:hAnsi="Times New Roman" w:cs="Times New Roman"/>
          <w:sz w:val="24"/>
          <w:szCs w:val="24"/>
          <w:lang w:val=""/>
        </w:rPr>
        <w:t>tine Tuzi o davanju saglasnosti</w:t>
      </w:r>
      <w:r w:rsidRPr="00C61F7F">
        <w:rPr>
          <w:rFonts w:ascii="Times New Roman" w:eastAsia="Calibri" w:hAnsi="Times New Roman" w:cs="Times New Roman"/>
          <w:sz w:val="24"/>
          <w:szCs w:val="24"/>
          <w:lang w:val=""/>
        </w:rPr>
        <w:t xml:space="preserve"> u Službenom listu Crne Gore – Opštinski propisi, a primjenjivat će se</w:t>
      </w:r>
      <w:r w:rsidR="00A76F82">
        <w:rPr>
          <w:rFonts w:ascii="Times New Roman" w:eastAsia="Calibri" w:hAnsi="Times New Roman" w:cs="Times New Roman"/>
          <w:sz w:val="24"/>
          <w:szCs w:val="24"/>
          <w:lang w:val=""/>
        </w:rPr>
        <w:t xml:space="preserve"> od 01.01</w:t>
      </w:r>
      <w:r w:rsidRPr="00C61F7F">
        <w:rPr>
          <w:rFonts w:ascii="Times New Roman" w:eastAsia="Calibri" w:hAnsi="Times New Roman" w:cs="Times New Roman"/>
          <w:sz w:val="24"/>
          <w:szCs w:val="24"/>
          <w:lang w:val=""/>
        </w:rPr>
        <w:t>.2026.god</w:t>
      </w:r>
      <w:r w:rsidR="00A76F82">
        <w:rPr>
          <w:rFonts w:ascii="Times New Roman" w:eastAsia="Calibri" w:hAnsi="Times New Roman" w:cs="Times New Roman"/>
          <w:sz w:val="24"/>
          <w:szCs w:val="24"/>
          <w:lang w:val=""/>
        </w:rPr>
        <w:t>ine</w:t>
      </w:r>
      <w:r w:rsidRPr="00C61F7F">
        <w:rPr>
          <w:rFonts w:ascii="Times New Roman" w:eastAsia="Calibri" w:hAnsi="Times New Roman" w:cs="Times New Roman"/>
          <w:sz w:val="24"/>
          <w:szCs w:val="24"/>
          <w:lang w:val=""/>
        </w:rPr>
        <w:t>.</w:t>
      </w:r>
    </w:p>
    <w:bookmarkEnd w:id="1"/>
    <w:p w14:paraId="5299CEDE" w14:textId="77777777" w:rsidR="00395D65" w:rsidRPr="00395D65" w:rsidRDefault="009D056A" w:rsidP="00395D65">
      <w:pPr>
        <w:spacing w:after="200" w:line="276" w:lineRule="auto"/>
        <w:rPr>
          <w:rFonts w:ascii="Arial" w:eastAsia="Calibri" w:hAnsi="Arial" w:cs="Arial"/>
          <w:sz w:val="24"/>
          <w:szCs w:val="24"/>
          <w:lang w:val=""/>
        </w:rPr>
      </w:pPr>
      <w:r>
        <w:rPr>
          <w:rFonts w:ascii="Arial" w:eastAsia="Calibri" w:hAnsi="Arial" w:cs="Arial"/>
          <w:sz w:val="24"/>
          <w:szCs w:val="24"/>
          <w:lang w:val=""/>
        </w:rPr>
        <w:tab/>
      </w:r>
      <w:r>
        <w:rPr>
          <w:rFonts w:ascii="Arial" w:eastAsia="Calibri" w:hAnsi="Arial" w:cs="Arial"/>
          <w:sz w:val="24"/>
          <w:szCs w:val="24"/>
          <w:lang w:val=""/>
        </w:rPr>
        <w:tab/>
      </w:r>
      <w:r>
        <w:rPr>
          <w:rFonts w:ascii="Arial" w:eastAsia="Calibri" w:hAnsi="Arial" w:cs="Arial"/>
          <w:sz w:val="24"/>
          <w:szCs w:val="24"/>
          <w:lang w:val=""/>
        </w:rPr>
        <w:tab/>
      </w:r>
    </w:p>
    <w:p w14:paraId="71A1FCBA" w14:textId="77777777" w:rsidR="00395D65" w:rsidRPr="00395D65" w:rsidRDefault="009D056A" w:rsidP="00395D6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395D65">
        <w:rPr>
          <w:rFonts w:ascii="Arial" w:eastAsia="Calibri" w:hAnsi="Arial" w:cs="Arial"/>
          <w:sz w:val="24"/>
          <w:szCs w:val="24"/>
          <w:lang w:val=""/>
        </w:rPr>
        <w:tab/>
      </w:r>
      <w:r w:rsidRPr="00395D65">
        <w:rPr>
          <w:rFonts w:ascii="Arial" w:eastAsia="Calibri" w:hAnsi="Arial" w:cs="Arial"/>
          <w:sz w:val="24"/>
          <w:szCs w:val="24"/>
          <w:lang w:val=""/>
        </w:rPr>
        <w:tab/>
      </w:r>
      <w:r w:rsidRPr="00395D65">
        <w:rPr>
          <w:rFonts w:ascii="Arial" w:eastAsia="Calibri" w:hAnsi="Arial" w:cs="Arial"/>
          <w:sz w:val="24"/>
          <w:szCs w:val="24"/>
          <w:lang w:val=""/>
        </w:rPr>
        <w:tab/>
      </w:r>
      <w:r w:rsidRPr="00395D65">
        <w:rPr>
          <w:rFonts w:ascii="Arial" w:eastAsia="Calibri" w:hAnsi="Arial" w:cs="Arial"/>
          <w:sz w:val="24"/>
          <w:szCs w:val="24"/>
          <w:lang w:val=""/>
        </w:rPr>
        <w:tab/>
      </w:r>
      <w:r w:rsidRPr="00395D65">
        <w:rPr>
          <w:rFonts w:ascii="Arial" w:eastAsia="Calibri" w:hAnsi="Arial" w:cs="Arial"/>
          <w:sz w:val="24"/>
          <w:szCs w:val="24"/>
          <w:lang w:val=""/>
        </w:rPr>
        <w:tab/>
      </w:r>
      <w:r w:rsidRPr="00395D65">
        <w:rPr>
          <w:rFonts w:ascii="Arial" w:eastAsia="Calibri" w:hAnsi="Arial" w:cs="Arial"/>
          <w:sz w:val="24"/>
          <w:szCs w:val="24"/>
          <w:lang w:val=""/>
        </w:rPr>
        <w:tab/>
      </w:r>
      <w:r w:rsidRPr="00395D65">
        <w:rPr>
          <w:rFonts w:ascii="Arial" w:eastAsia="Calibri" w:hAnsi="Arial" w:cs="Arial"/>
          <w:sz w:val="24"/>
          <w:szCs w:val="24"/>
          <w:lang w:val=""/>
        </w:rPr>
        <w:tab/>
      </w:r>
      <w:r w:rsidRPr="00395D65">
        <w:rPr>
          <w:rFonts w:ascii="Arial" w:eastAsia="Calibri" w:hAnsi="Arial" w:cs="Arial"/>
          <w:sz w:val="24"/>
          <w:szCs w:val="24"/>
          <w:lang w:val=""/>
        </w:rPr>
        <w:tab/>
        <w:t xml:space="preserve">        </w:t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>ODBOR DIREKTORA</w:t>
      </w:r>
    </w:p>
    <w:p w14:paraId="6E6962DB" w14:textId="77777777" w:rsidR="00395D65" w:rsidRPr="00395D65" w:rsidRDefault="009D056A" w:rsidP="00395D6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      Predsjednik  </w:t>
      </w:r>
    </w:p>
    <w:p w14:paraId="5C024BFD" w14:textId="77777777" w:rsidR="00395D65" w:rsidRDefault="009D056A" w:rsidP="00395D6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395D65">
        <w:rPr>
          <w:rFonts w:ascii="Times New Roman" w:eastAsia="Calibri" w:hAnsi="Times New Roman" w:cs="Times New Roman"/>
          <w:color w:val="FF0000"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color w:val="FF0000"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color w:val="FF0000"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color w:val="FF0000"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color w:val="FF0000"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color w:val="FF0000"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color w:val="FF0000"/>
          <w:sz w:val="24"/>
          <w:szCs w:val="24"/>
          <w:lang w:val=""/>
        </w:rPr>
        <w:tab/>
      </w:r>
      <w:r w:rsidRPr="00395D65">
        <w:rPr>
          <w:rFonts w:ascii="Times New Roman" w:eastAsia="Calibri" w:hAnsi="Times New Roman" w:cs="Times New Roman"/>
          <w:color w:val="FF0000"/>
          <w:sz w:val="24"/>
          <w:szCs w:val="24"/>
          <w:lang w:val=""/>
        </w:rPr>
        <w:tab/>
        <w:t xml:space="preserve">           </w:t>
      </w:r>
      <w:r w:rsidR="00184BCD">
        <w:rPr>
          <w:rFonts w:ascii="Times New Roman" w:eastAsia="Calibri" w:hAnsi="Times New Roman" w:cs="Times New Roman"/>
          <w:color w:val="FF0000"/>
          <w:sz w:val="24"/>
          <w:szCs w:val="24"/>
          <w:lang w:val=""/>
        </w:rPr>
        <w:t xml:space="preserve">    </w:t>
      </w:r>
      <w:r w:rsidR="00184BCD">
        <w:rPr>
          <w:rFonts w:ascii="Times New Roman" w:eastAsia="Calibri" w:hAnsi="Times New Roman" w:cs="Times New Roman"/>
          <w:b/>
          <w:sz w:val="24"/>
          <w:szCs w:val="24"/>
          <w:lang w:val=""/>
        </w:rPr>
        <w:t>Nikola Siništaj</w:t>
      </w:r>
    </w:p>
    <w:p w14:paraId="5F2A206B" w14:textId="77777777" w:rsidR="00BD34E3" w:rsidRPr="00744C5D" w:rsidRDefault="009D056A" w:rsidP="00744C5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"/>
        </w:rPr>
      </w:pPr>
      <w:r w:rsidRPr="00184BCD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                                                                                            </w:t>
      </w:r>
      <w:r w:rsidR="00744C5D">
        <w:rPr>
          <w:rFonts w:ascii="Times New Roman" w:eastAsia="Calibri" w:hAnsi="Times New Roman" w:cs="Times New Roman"/>
          <w:b/>
          <w:sz w:val="24"/>
          <w:szCs w:val="24"/>
          <w:lang w:val=""/>
        </w:rPr>
        <w:t xml:space="preserve">        _______________________</w:t>
      </w:r>
    </w:p>
    <w:p w14:paraId="6E2A9E35" w14:textId="77777777" w:rsidR="005D144A" w:rsidRDefault="005D144A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"/>
        </w:rPr>
      </w:pPr>
    </w:p>
    <w:p w14:paraId="74044253" w14:textId="77777777" w:rsidR="005D144A" w:rsidRDefault="005D144A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"/>
        </w:rPr>
      </w:pPr>
    </w:p>
    <w:p w14:paraId="627159B8" w14:textId="77777777" w:rsidR="005D144A" w:rsidRDefault="005D144A" w:rsidP="00395D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"/>
        </w:rPr>
      </w:pPr>
    </w:p>
    <w:sectPr w:rsidR="005D144A" w:rsidSect="00662A4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70980" w14:textId="77777777" w:rsidR="009D056A" w:rsidRDefault="009D056A">
      <w:pPr>
        <w:spacing w:after="0" w:line="240" w:lineRule="auto"/>
      </w:pPr>
      <w:r>
        <w:separator/>
      </w:r>
    </w:p>
  </w:endnote>
  <w:endnote w:type="continuationSeparator" w:id="0">
    <w:p w14:paraId="061CC6C6" w14:textId="77777777" w:rsidR="009D056A" w:rsidRDefault="009D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E2C7B" w14:textId="77777777" w:rsidR="00662A40" w:rsidRDefault="009D056A">
    <w:pPr>
      <w:tabs>
        <w:tab w:val="center" w:pos="4680"/>
        <w:tab w:val="right" w:pos="9360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A36A63" wp14:editId="5A3516FA">
              <wp:simplePos x="0" y="0"/>
              <wp:positionH relativeFrom="column">
                <wp:posOffset>-114300</wp:posOffset>
              </wp:positionH>
              <wp:positionV relativeFrom="paragraph">
                <wp:posOffset>199390</wp:posOffset>
              </wp:positionV>
              <wp:extent cx="6534150" cy="190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341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2049" style="flip:y;mso-wrap-distance-bottom:0;mso-wrap-distance-left:9pt;mso-wrap-distance-right:9pt;mso-wrap-distance-top:0;position:absolute;v-text-anchor:top;z-index:251664384" from="-9pt,15.7pt" to="505.5pt,17.2pt" fillcolor="this" stroked="t" strokecolor="black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BF6BCF" wp14:editId="6797A8C2">
              <wp:simplePos x="0" y="0"/>
              <wp:positionH relativeFrom="margin">
                <wp:posOffset>-247650</wp:posOffset>
              </wp:positionH>
              <wp:positionV relativeFrom="paragraph">
                <wp:posOffset>22225</wp:posOffset>
              </wp:positionV>
              <wp:extent cx="6753225" cy="7493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3225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D39B7" w14:textId="77777777" w:rsidR="00662A40" w:rsidRDefault="00662A40" w:rsidP="00662A4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80" w:line="240" w:lineRule="auto"/>
                            <w:rPr>
                              <w:rFonts w:ascii="Baskerville Old Face" w:hAnsi="Baskerville Old Face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739BDCE5" w14:textId="77777777" w:rsidR="00662A40" w:rsidRPr="00AF163B" w:rsidRDefault="009D056A" w:rsidP="00662A4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color w:val="000000" w:themeColor="text1"/>
                              <w:sz w:val="20"/>
                              <w:szCs w:val="20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Adresa: Tuzi bb, 81206; /cell:+38268836834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               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hyperlink r:id="rId1" w:history="1">
                            <w:r w:rsidRPr="00AF163B">
                              <w:rPr>
                                <w:rFonts w:ascii="Baskerville Old Face" w:hAnsi="Baskerville Old Face"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www.komunalno-tz.me</w:t>
                            </w:r>
                          </w:hyperlink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;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info@komunalno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-tz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.me  </w:t>
                          </w:r>
                        </w:p>
                        <w:p w14:paraId="3D763EF8" w14:textId="77777777" w:rsidR="00662A40" w:rsidRPr="009732C3" w:rsidRDefault="009D056A" w:rsidP="00662A4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rPr>
                              <w:rFonts w:ascii="Baskerville Old Face" w:hAnsi="Baskerville Old Face"/>
                              <w:b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163B">
                            <w:rPr>
                              <w:rFonts w:ascii="Cambria" w:hAnsi="Cambria" w:cs="Cambria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Ž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iro ra</w:t>
                          </w:r>
                          <w:r w:rsidRPr="00AF163B">
                            <w:rPr>
                              <w:rFonts w:ascii="Cambria" w:hAnsi="Cambria" w:cs="Cambria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č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una/gjiro llogaria: 530-28378-45   PDV: 33/31-00037-9                                 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                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P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IB: 03283135     Reg.br./nr. 5-0905198/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001</w:t>
                          </w:r>
                          <w:r w:rsidRPr="009732C3">
                            <w:rPr>
                              <w:rFonts w:ascii="Baskerville Old Face" w:hAnsi="Baskerville Old Face"/>
                              <w:b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</w:t>
                          </w:r>
                        </w:p>
                        <w:p w14:paraId="7C5A7AA5" w14:textId="77777777" w:rsidR="00662A40" w:rsidRPr="001D1332" w:rsidRDefault="00662A40" w:rsidP="00662A4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531.75pt;height:59pt;margin-top:1.75pt;margin-left:-19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2336" filled="f" fillcolor="this" stroked="f">
              <v:textbox>
                <w:txbxContent>
                  <w:p w:rsidR="00662A40" w:rsidP="00662A40" w14:paraId="7D21D288" w14:textId="77777777">
                    <w:pPr>
                      <w:tabs>
                        <w:tab w:val="center" w:pos="4680"/>
                        <w:tab w:val="right" w:pos="9360"/>
                      </w:tabs>
                      <w:spacing w:after="80" w:line="240" w:lineRule="auto"/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20"/>
                        <w:szCs w:val="20"/>
                        <w:lang w:val="en-US" w:eastAsia="en-US" w:bidi="ar-SA"/>
                      </w:rPr>
                    </w:pPr>
                  </w:p>
                  <w:p w:rsidR="00662A40" w:rsidRPr="00AF163B" w:rsidP="00662A40" w14:paraId="1596B49A" w14:textId="77777777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</w:pPr>
                    <w:r>
                      <w:rPr>
                        <w:rFonts w:ascii="Baskerville Old Face" w:hAnsi="Baskerville Old Face" w:eastAsiaTheme="minorHAnsi" w:cstheme="minorBidi"/>
                        <w:b/>
                        <w:color w:val="000000" w:themeColor="text1"/>
                        <w:sz w:val="20"/>
                        <w:szCs w:val="20"/>
                        <w:lang w:val="hr-HR" w:eastAsia="en-US" w:bidi="ar-SA"/>
                      </w:rPr>
                      <w:t xml:space="preserve">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Adresa: Tuzi bb, 81206; /cell:+38268836834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                            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       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</w:t>
                    </w:r>
                    <w:hyperlink r:id="rId2" w:history="1">
                      <w:r w:rsidRPr="00AF163B">
                        <w:rPr>
                          <w:rFonts w:ascii="Baskerville Old Face" w:hAnsi="Baskerville Old Face" w:eastAsiaTheme="minorHAnsi" w:cstheme="minorBidi"/>
                          <w:color w:val="000000" w:themeColor="text1"/>
                          <w:sz w:val="16"/>
                          <w:szCs w:val="16"/>
                          <w:u w:val="single"/>
                          <w:lang w:val="hr-HR" w:eastAsia="en-US" w:bidi="ar-SA"/>
                        </w:rPr>
                        <w:t>www.komunalno-tz.me</w:t>
                      </w:r>
                    </w:hyperlink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;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info@komunalno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-tz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.me  </w:t>
                    </w:r>
                  </w:p>
                  <w:p w:rsidR="00662A40" w:rsidRPr="009732C3" w:rsidP="00662A40" w14:paraId="519B41E6" w14:textId="77777777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rPr>
                        <w:rFonts w:ascii="Baskerville Old Face" w:hAnsi="Baskerville Old Face" w:eastAsiaTheme="minorHAnsi" w:cstheme="minorBidi"/>
                        <w:b/>
                        <w:color w:val="000000" w:themeColor="text1"/>
                        <w:sz w:val="24"/>
                        <w:szCs w:val="24"/>
                        <w:lang w:val="en-US" w:eastAsia="en-US" w:bidi="ar-SA"/>
                      </w:rPr>
                    </w:pPr>
                    <w:r w:rsidRPr="00AF163B">
                      <w:rPr>
                        <w:rFonts w:ascii="Cambria" w:hAnsi="Cambria" w:eastAsiaTheme="minorHAnsi" w:cs="Cambria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Ž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iro ra</w:t>
                    </w:r>
                    <w:r w:rsidRPr="00AF163B">
                      <w:rPr>
                        <w:rFonts w:ascii="Cambria" w:hAnsi="Cambria" w:eastAsiaTheme="minorHAnsi" w:cs="Cambria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č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una/gjiro llogaria: 530-28378-45   PDV: 33/31-00037-9                                 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                             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PIB: 03283135     Reg.br./nr. 5-0905198/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en-US" w:eastAsia="en-US" w:bidi="ar-SA"/>
                      </w:rPr>
                      <w:t>001</w:t>
                    </w:r>
                    <w:r w:rsidRPr="009732C3">
                      <w:rPr>
                        <w:rFonts w:ascii="Baskerville Old Face" w:hAnsi="Baskerville Old Face" w:eastAsiaTheme="minorHAnsi" w:cstheme="minorBidi"/>
                        <w:b/>
                        <w:color w:val="000000" w:themeColor="text1"/>
                        <w:sz w:val="24"/>
                        <w:szCs w:val="24"/>
                        <w:lang w:val="en-US" w:eastAsia="en-US" w:bidi="ar-SA"/>
                      </w:rPr>
                      <w:t xml:space="preserve">                                </w:t>
                    </w:r>
                  </w:p>
                  <w:p w:rsidR="00662A40" w:rsidRPr="001D1332" w:rsidP="00662A40" w14:paraId="4C3BF91C" w14:textId="77777777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rFonts w:asciiTheme="minorHAnsi" w:eastAsiaTheme="minorHAnsi" w:hAnsiTheme="minorHAnsi" w:cstheme="minorBidi"/>
                        <w:color w:val="000000" w:themeColor="text1"/>
                        <w:sz w:val="72"/>
                        <w:szCs w:val="7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9FCDE" w14:textId="77777777" w:rsidR="00E7441F" w:rsidRDefault="009D056A">
    <w:pPr>
      <w:tabs>
        <w:tab w:val="center" w:pos="4680"/>
        <w:tab w:val="right" w:pos="9360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31FC09" wp14:editId="589EABC7">
              <wp:simplePos x="0" y="0"/>
              <wp:positionH relativeFrom="margin">
                <wp:posOffset>-370840</wp:posOffset>
              </wp:positionH>
              <wp:positionV relativeFrom="paragraph">
                <wp:posOffset>-4445</wp:posOffset>
              </wp:positionV>
              <wp:extent cx="6753225" cy="7493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3225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4EAFC" w14:textId="77777777" w:rsidR="00E7441F" w:rsidRDefault="00E7441F" w:rsidP="00C5032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80" w:line="240" w:lineRule="auto"/>
                            <w:rPr>
                              <w:rFonts w:ascii="Baskerville Old Face" w:hAnsi="Baskerville Old Face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42E77BA5" w14:textId="77777777" w:rsidR="00E7441F" w:rsidRPr="00AF163B" w:rsidRDefault="009D056A" w:rsidP="00AF163B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color w:val="000000" w:themeColor="text1"/>
                              <w:sz w:val="20"/>
                              <w:szCs w:val="20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204C9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Adresa: Tuzi bb, 81206; /cell:+38268836834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               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="005204C9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hyperlink r:id="rId1" w:history="1">
                            <w:r w:rsidRPr="00AF163B">
                              <w:rPr>
                                <w:rFonts w:ascii="Baskerville Old Face" w:hAnsi="Baskerville Old Face"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www.komunalno-tz.me</w:t>
                            </w:r>
                          </w:hyperlink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;</w:t>
                          </w:r>
                          <w:r w:rsidR="00B822CF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info@komunalno</w:t>
                          </w:r>
                          <w:r w:rsidR="00B822CF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-tz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.me  </w:t>
                          </w:r>
                        </w:p>
                        <w:p w14:paraId="457F4853" w14:textId="77777777" w:rsidR="00E7441F" w:rsidRPr="009732C3" w:rsidRDefault="009D056A" w:rsidP="00AF163B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rPr>
                              <w:rFonts w:ascii="Baskerville Old Face" w:hAnsi="Baskerville Old Face"/>
                              <w:b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163B">
                            <w:rPr>
                              <w:rFonts w:ascii="Cambria" w:hAnsi="Cambria" w:cs="Cambria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Ž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iro ra</w:t>
                          </w:r>
                          <w:r w:rsidRPr="00AF163B">
                            <w:rPr>
                              <w:rFonts w:ascii="Cambria" w:hAnsi="Cambria" w:cs="Cambria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č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una/gjiro llogaria: 530-28378-45   PDV: 33/31-00037-9                                 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                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PIB: 03283135     Reg.br./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nr. 5-0905198/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001</w:t>
                          </w:r>
                          <w:r w:rsidRPr="009732C3">
                            <w:rPr>
                              <w:rFonts w:ascii="Baskerville Old Face" w:hAnsi="Baskerville Old Face"/>
                              <w:b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</w:t>
                          </w:r>
                        </w:p>
                        <w:p w14:paraId="3F067AC2" w14:textId="77777777" w:rsidR="00E7441F" w:rsidRPr="001D1332" w:rsidRDefault="00E7441F" w:rsidP="00C5032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style="width:531.75pt;height:59pt;margin-top:-0.35pt;margin-left:-29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0288" filled="f" fillcolor="this" stroked="f">
              <v:textbox>
                <w:txbxContent>
                  <w:p w:rsidR="00E7441F" w:rsidP="00C50321" w14:paraId="5F93718A" w14:textId="77777777">
                    <w:pPr>
                      <w:tabs>
                        <w:tab w:val="center" w:pos="4680"/>
                        <w:tab w:val="right" w:pos="9360"/>
                      </w:tabs>
                      <w:spacing w:after="80" w:line="240" w:lineRule="auto"/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20"/>
                        <w:szCs w:val="20"/>
                        <w:lang w:val="en-US" w:eastAsia="en-US" w:bidi="ar-SA"/>
                      </w:rPr>
                    </w:pPr>
                  </w:p>
                  <w:p w:rsidR="00E7441F" w:rsidRPr="00AF163B" w:rsidP="00AF163B" w14:paraId="36779892" w14:textId="77777777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</w:pPr>
                    <w:r>
                      <w:rPr>
                        <w:rFonts w:ascii="Baskerville Old Face" w:hAnsi="Baskerville Old Face" w:eastAsiaTheme="minorHAnsi" w:cstheme="minorBidi"/>
                        <w:b/>
                        <w:color w:val="000000" w:themeColor="text1"/>
                        <w:sz w:val="20"/>
                        <w:szCs w:val="20"/>
                        <w:lang w:val="hr-HR" w:eastAsia="en-US" w:bidi="ar-SA"/>
                      </w:rPr>
                      <w:t xml:space="preserve"> </w:t>
                    </w:r>
                    <w:r w:rsidR="005204C9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Adresa: Tuzi bb, 81206; /cell:+38268836834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                            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</w:t>
                    </w:r>
                    <w:r w:rsidR="005204C9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       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</w:t>
                    </w:r>
                    <w:hyperlink r:id="rId2" w:history="1">
                      <w:r w:rsidRPr="00AF163B">
                        <w:rPr>
                          <w:rFonts w:ascii="Baskerville Old Face" w:hAnsi="Baskerville Old Face" w:eastAsiaTheme="minorHAnsi" w:cstheme="minorBidi"/>
                          <w:color w:val="000000" w:themeColor="text1"/>
                          <w:sz w:val="16"/>
                          <w:szCs w:val="16"/>
                          <w:u w:val="single"/>
                          <w:lang w:val="hr-HR" w:eastAsia="en-US" w:bidi="ar-SA"/>
                        </w:rPr>
                        <w:t>www.komunalno-tz.me</w:t>
                      </w:r>
                    </w:hyperlink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;</w:t>
                    </w:r>
                    <w:r w:rsidR="00B822CF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info@komunalno</w:t>
                    </w:r>
                    <w:r w:rsidR="00B822CF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-tz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.me  </w:t>
                    </w:r>
                  </w:p>
                  <w:p w:rsidR="00E7441F" w:rsidRPr="009732C3" w:rsidP="00AF163B" w14:paraId="2524DFEC" w14:textId="77777777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rPr>
                        <w:rFonts w:ascii="Baskerville Old Face" w:hAnsi="Baskerville Old Face" w:eastAsiaTheme="minorHAnsi" w:cstheme="minorBidi"/>
                        <w:b/>
                        <w:color w:val="000000" w:themeColor="text1"/>
                        <w:sz w:val="24"/>
                        <w:szCs w:val="24"/>
                        <w:lang w:val="en-US" w:eastAsia="en-US" w:bidi="ar-SA"/>
                      </w:rPr>
                    </w:pPr>
                    <w:r w:rsidRPr="00AF163B">
                      <w:rPr>
                        <w:rFonts w:ascii="Cambria" w:hAnsi="Cambria" w:eastAsiaTheme="minorHAnsi" w:cs="Cambria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Ž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iro ra</w:t>
                    </w:r>
                    <w:r w:rsidRPr="00AF163B">
                      <w:rPr>
                        <w:rFonts w:ascii="Cambria" w:hAnsi="Cambria" w:eastAsiaTheme="minorHAnsi" w:cs="Cambria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č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una/gjiro llogaria: 530-28378-45   PDV: 33/31-00037-9                                 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                             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PIB: 03283135     Reg.br./nr. 5-0905198/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en-US" w:eastAsia="en-US" w:bidi="ar-SA"/>
                      </w:rPr>
                      <w:t>001</w:t>
                    </w:r>
                    <w:r w:rsidRPr="009732C3">
                      <w:rPr>
                        <w:rFonts w:ascii="Baskerville Old Face" w:hAnsi="Baskerville Old Face" w:eastAsiaTheme="minorHAnsi" w:cstheme="minorBidi"/>
                        <w:b/>
                        <w:color w:val="000000" w:themeColor="text1"/>
                        <w:sz w:val="24"/>
                        <w:szCs w:val="24"/>
                        <w:lang w:val="en-US" w:eastAsia="en-US" w:bidi="ar-SA"/>
                      </w:rPr>
                      <w:t xml:space="preserve">                                </w:t>
                    </w:r>
                  </w:p>
                  <w:p w:rsidR="00E7441F" w:rsidRPr="001D1332" w:rsidP="00C50321" w14:paraId="12AF3422" w14:textId="77777777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rFonts w:asciiTheme="minorHAnsi" w:eastAsiaTheme="minorHAnsi" w:hAnsiTheme="minorHAnsi" w:cstheme="minorBidi"/>
                        <w:color w:val="000000" w:themeColor="text1"/>
                        <w:sz w:val="72"/>
                        <w:szCs w:val="7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30C835" wp14:editId="1C7D8E12">
              <wp:simplePos x="0" y="0"/>
              <wp:positionH relativeFrom="margin">
                <wp:posOffset>-238125</wp:posOffset>
              </wp:positionH>
              <wp:positionV relativeFrom="paragraph">
                <wp:posOffset>256540</wp:posOffset>
              </wp:positionV>
              <wp:extent cx="644842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2052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8240" from="-18.75pt,20.2pt" to="489pt,20.2pt" fillcolor="this" stroked="t" strokecolor="black" strokeweight="0.5pt"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63BB" w14:textId="77777777" w:rsidR="00662A40" w:rsidRDefault="009D056A">
    <w:pPr>
      <w:tabs>
        <w:tab w:val="center" w:pos="4680"/>
        <w:tab w:val="right" w:pos="9360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23388C" wp14:editId="623CFD31">
              <wp:simplePos x="0" y="0"/>
              <wp:positionH relativeFrom="column">
                <wp:posOffset>-71120</wp:posOffset>
              </wp:positionH>
              <wp:positionV relativeFrom="paragraph">
                <wp:posOffset>-403418</wp:posOffset>
              </wp:positionV>
              <wp:extent cx="6472362" cy="7951"/>
              <wp:effectExtent l="0" t="0" r="24130" b="3048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2362" cy="79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2054" style="mso-wrap-distance-bottom:0;mso-wrap-distance-left:9pt;mso-wrap-distance-right:9pt;mso-wrap-distance-top:0;position:absolute;v-text-anchor:top;z-index:251668480" from="-5.6pt,-31.77pt" to="504.03pt,-31.14pt" fillcolor="this" stroked="t" strokecolor="black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CA32B1" wp14:editId="60079C1F">
              <wp:simplePos x="0" y="0"/>
              <wp:positionH relativeFrom="margin">
                <wp:posOffset>-247015</wp:posOffset>
              </wp:positionH>
              <wp:positionV relativeFrom="paragraph">
                <wp:posOffset>-664210</wp:posOffset>
              </wp:positionV>
              <wp:extent cx="6753225" cy="779145"/>
              <wp:effectExtent l="0" t="0" r="0" b="1905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3225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378E6" w14:textId="77777777" w:rsidR="000C6960" w:rsidRDefault="000C6960" w:rsidP="000C696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80" w:line="240" w:lineRule="auto"/>
                            <w:rPr>
                              <w:rFonts w:ascii="Baskerville Old Face" w:hAnsi="Baskerville Old Face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6301DBE8" w14:textId="77777777" w:rsidR="000C6960" w:rsidRPr="00AF163B" w:rsidRDefault="009D056A" w:rsidP="000C696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color w:val="000000" w:themeColor="text1"/>
                              <w:sz w:val="20"/>
                              <w:szCs w:val="20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Adresa: Tuzi bb, 81206; /cell:+38268836834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               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hyperlink r:id="rId1" w:history="1">
                            <w:r w:rsidRPr="00AF163B">
                              <w:rPr>
                                <w:rFonts w:ascii="Baskerville Old Face" w:hAnsi="Baskerville Old Face"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www.komunalno-tz.me</w:t>
                            </w:r>
                          </w:hyperlink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;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info@komunalno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-tz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.me  </w:t>
                          </w:r>
                        </w:p>
                        <w:p w14:paraId="595E30A4" w14:textId="77777777" w:rsidR="000C6960" w:rsidRPr="009732C3" w:rsidRDefault="009D056A" w:rsidP="000C696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rPr>
                              <w:rFonts w:ascii="Baskerville Old Face" w:hAnsi="Baskerville Old Face"/>
                              <w:b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163B">
                            <w:rPr>
                              <w:rFonts w:ascii="Cambria" w:hAnsi="Cambria" w:cs="Cambria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Ž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iro ra</w:t>
                          </w:r>
                          <w:r w:rsidRPr="00AF163B">
                            <w:rPr>
                              <w:rFonts w:ascii="Cambria" w:hAnsi="Cambria" w:cs="Cambria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č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una/gjiro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llogaria: 530-28378-45   PDV: 33/31-00037-9                                  </w:t>
                          </w:r>
                          <w:r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                  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:lang w:val="hr-H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PIB: 03283135     Reg.br./nr. 5-0905198/</w:t>
                          </w:r>
                          <w:r w:rsidRPr="00AF163B">
                            <w:rPr>
                              <w:rFonts w:ascii="Baskerville Old Face" w:hAnsi="Baskerville Old Face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001</w:t>
                          </w:r>
                          <w:r w:rsidRPr="009732C3">
                            <w:rPr>
                              <w:rFonts w:ascii="Baskerville Old Face" w:hAnsi="Baskerville Old Face"/>
                              <w:b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</w:t>
                          </w:r>
                        </w:p>
                        <w:p w14:paraId="0D7CE9DC" w14:textId="77777777" w:rsidR="000C6960" w:rsidRPr="001D1332" w:rsidRDefault="000C6960" w:rsidP="000C696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5" type="#_x0000_t202" style="width:531.75pt;height:61.35pt;margin-top:-52.3pt;margin-left:-19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ed="f" fillcolor="this" stroked="f">
              <v:textbox>
                <w:txbxContent>
                  <w:p w:rsidR="000C6960" w:rsidP="000C6960" w14:paraId="588AB10B" w14:textId="77777777">
                    <w:pPr>
                      <w:tabs>
                        <w:tab w:val="center" w:pos="4680"/>
                        <w:tab w:val="right" w:pos="9360"/>
                      </w:tabs>
                      <w:spacing w:after="80" w:line="240" w:lineRule="auto"/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20"/>
                        <w:szCs w:val="20"/>
                        <w:lang w:val="en-US" w:eastAsia="en-US" w:bidi="ar-SA"/>
                      </w:rPr>
                    </w:pPr>
                  </w:p>
                  <w:p w:rsidR="000C6960" w:rsidRPr="00AF163B" w:rsidP="000C6960" w14:paraId="5BB6DD9E" w14:textId="77777777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</w:pPr>
                    <w:r>
                      <w:rPr>
                        <w:rFonts w:ascii="Baskerville Old Face" w:hAnsi="Baskerville Old Face" w:eastAsiaTheme="minorHAnsi" w:cstheme="minorBidi"/>
                        <w:b/>
                        <w:color w:val="000000" w:themeColor="text1"/>
                        <w:sz w:val="20"/>
                        <w:szCs w:val="20"/>
                        <w:lang w:val="hr-HR" w:eastAsia="en-US" w:bidi="ar-SA"/>
                      </w:rPr>
                      <w:t xml:space="preserve">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Adresa: Tuzi bb, 81206; /cell:+38268836834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                            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       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</w:t>
                    </w:r>
                    <w:hyperlink r:id="rId2" w:history="1">
                      <w:r w:rsidRPr="00AF163B">
                        <w:rPr>
                          <w:rFonts w:ascii="Baskerville Old Face" w:hAnsi="Baskerville Old Face" w:eastAsiaTheme="minorHAnsi" w:cstheme="minorBidi"/>
                          <w:color w:val="000000" w:themeColor="text1"/>
                          <w:sz w:val="16"/>
                          <w:szCs w:val="16"/>
                          <w:u w:val="single"/>
                          <w:lang w:val="hr-HR" w:eastAsia="en-US" w:bidi="ar-SA"/>
                        </w:rPr>
                        <w:t>www.komunalno-tz.me</w:t>
                      </w:r>
                    </w:hyperlink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;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info@komunalno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-tz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.me  </w:t>
                    </w:r>
                  </w:p>
                  <w:p w:rsidR="000C6960" w:rsidRPr="009732C3" w:rsidP="000C6960" w14:paraId="1160E273" w14:textId="77777777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rPr>
                        <w:rFonts w:ascii="Baskerville Old Face" w:hAnsi="Baskerville Old Face" w:eastAsiaTheme="minorHAnsi" w:cstheme="minorBidi"/>
                        <w:b/>
                        <w:color w:val="000000" w:themeColor="text1"/>
                        <w:sz w:val="24"/>
                        <w:szCs w:val="24"/>
                        <w:lang w:val="en-US" w:eastAsia="en-US" w:bidi="ar-SA"/>
                      </w:rPr>
                    </w:pPr>
                    <w:r w:rsidRPr="00AF163B">
                      <w:rPr>
                        <w:rFonts w:ascii="Cambria" w:hAnsi="Cambria" w:eastAsiaTheme="minorHAnsi" w:cs="Cambria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Ž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iro ra</w:t>
                    </w:r>
                    <w:r w:rsidRPr="00AF163B">
                      <w:rPr>
                        <w:rFonts w:ascii="Cambria" w:hAnsi="Cambria" w:eastAsiaTheme="minorHAnsi" w:cs="Cambria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>č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una/gjiro llogaria: 530-28378-45   PDV: 33/31-00037-9                                  </w:t>
                    </w:r>
                    <w:r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                                                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hr-HR" w:eastAsia="en-US" w:bidi="ar-SA"/>
                      </w:rPr>
                      <w:t xml:space="preserve">  PIB: 03283135     Reg.br./nr. 5-0905198/</w:t>
                    </w:r>
                    <w:r w:rsidRPr="00AF163B">
                      <w:rPr>
                        <w:rFonts w:ascii="Baskerville Old Face" w:hAnsi="Baskerville Old Face" w:eastAsiaTheme="minorHAnsi" w:cstheme="minorBidi"/>
                        <w:color w:val="000000" w:themeColor="text1"/>
                        <w:sz w:val="16"/>
                        <w:szCs w:val="16"/>
                        <w:lang w:val="en-US" w:eastAsia="en-US" w:bidi="ar-SA"/>
                      </w:rPr>
                      <w:t>001</w:t>
                    </w:r>
                    <w:r w:rsidRPr="009732C3">
                      <w:rPr>
                        <w:rFonts w:ascii="Baskerville Old Face" w:hAnsi="Baskerville Old Face" w:eastAsiaTheme="minorHAnsi" w:cstheme="minorBidi"/>
                        <w:b/>
                        <w:color w:val="000000" w:themeColor="text1"/>
                        <w:sz w:val="24"/>
                        <w:szCs w:val="24"/>
                        <w:lang w:val="en-US" w:eastAsia="en-US" w:bidi="ar-SA"/>
                      </w:rPr>
                      <w:t xml:space="preserve">                                </w:t>
                    </w:r>
                  </w:p>
                  <w:p w:rsidR="000C6960" w:rsidRPr="001D1332" w:rsidP="000C6960" w14:paraId="4CDC0668" w14:textId="77777777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rPr>
                        <w:rFonts w:asciiTheme="minorHAnsi" w:eastAsiaTheme="minorHAnsi" w:hAnsiTheme="minorHAnsi" w:cstheme="minorBidi"/>
                        <w:color w:val="000000" w:themeColor="text1"/>
                        <w:sz w:val="72"/>
                        <w:szCs w:val="7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CE3E5" w14:textId="77777777" w:rsidR="009D056A" w:rsidRDefault="009D056A">
      <w:pPr>
        <w:spacing w:after="0" w:line="240" w:lineRule="auto"/>
      </w:pPr>
      <w:r>
        <w:separator/>
      </w:r>
    </w:p>
  </w:footnote>
  <w:footnote w:type="continuationSeparator" w:id="0">
    <w:p w14:paraId="2A4B092B" w14:textId="77777777" w:rsidR="009D056A" w:rsidRDefault="009D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39813" w14:textId="77777777" w:rsidR="00E7441F" w:rsidRDefault="00E7441F" w:rsidP="00095483">
    <w:pPr>
      <w:tabs>
        <w:tab w:val="center" w:pos="4680"/>
        <w:tab w:val="right" w:pos="9360"/>
      </w:tabs>
      <w:spacing w:after="0" w:line="240" w:lineRule="auto"/>
    </w:pPr>
  </w:p>
  <w:p w14:paraId="079DF828" w14:textId="77777777" w:rsidR="00E7441F" w:rsidRDefault="009D056A" w:rsidP="009E5D3B">
    <w:pPr>
      <w:tabs>
        <w:tab w:val="center" w:pos="4680"/>
        <w:tab w:val="right" w:pos="9360"/>
      </w:tabs>
      <w:spacing w:after="0" w:line="240" w:lineRule="auto"/>
    </w:pPr>
    <w:r>
      <w:t xml:space="preserve">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1B073" w14:textId="77777777" w:rsidR="00662A40" w:rsidRDefault="009D056A">
    <w:pPr>
      <w:tabs>
        <w:tab w:val="center" w:pos="4680"/>
        <w:tab w:val="right" w:pos="9360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C002D6" wp14:editId="3C398B5B">
              <wp:simplePos x="0" y="0"/>
              <wp:positionH relativeFrom="column">
                <wp:posOffset>1085850</wp:posOffset>
              </wp:positionH>
              <wp:positionV relativeFrom="paragraph">
                <wp:posOffset>-635</wp:posOffset>
              </wp:positionV>
              <wp:extent cx="3228975" cy="162877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628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CF882" w14:textId="77777777" w:rsidR="00662A40" w:rsidRPr="002478D4" w:rsidRDefault="009D056A" w:rsidP="00662A40">
                          <w:pPr>
                            <w:spacing w:after="0" w:line="240" w:lineRule="auto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</w:pPr>
                          <w:r w:rsidRPr="002478D4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  <w:t>Opština Tuzi / Komuna e Tuzit</w:t>
                          </w:r>
                        </w:p>
                        <w:p w14:paraId="78968D6E" w14:textId="77777777" w:rsidR="00662A40" w:rsidRPr="002478D4" w:rsidRDefault="009D056A" w:rsidP="00662A40">
                          <w:pPr>
                            <w:spacing w:after="0" w:line="240" w:lineRule="auto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</w:pPr>
                          <w:r w:rsidRPr="002478D4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  <w:t>D.O.O. Komunalno / Komunale SH.P.K.</w:t>
                          </w:r>
                        </w:p>
                        <w:p w14:paraId="42BCBF0E" w14:textId="77777777" w:rsidR="00662A40" w:rsidRPr="002478D4" w:rsidRDefault="00662A40" w:rsidP="00662A40">
                          <w:pPr>
                            <w:spacing w:after="0" w:line="240" w:lineRule="auto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</w:pPr>
                        </w:p>
                        <w:p w14:paraId="5DFA4CEF" w14:textId="77777777" w:rsidR="00662A40" w:rsidRPr="002478D4" w:rsidRDefault="009D056A" w:rsidP="00662A40">
                          <w:pPr>
                            <w:spacing w:after="0" w:line="276" w:lineRule="auto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  <w:t>Br / Nr</w:t>
                          </w:r>
                          <w:r w:rsidR="00E8588F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  <w:t xml:space="preserve">   1749/25</w:t>
                          </w:r>
                        </w:p>
                        <w:p w14:paraId="66664649" w14:textId="77777777" w:rsidR="00662A40" w:rsidRPr="002478D4" w:rsidRDefault="009D056A" w:rsidP="00662A40">
                          <w:pPr>
                            <w:spacing w:after="0" w:line="276" w:lineRule="auto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  <w:t>Tuz / Tuzi</w:t>
                          </w:r>
                          <w:r w:rsidR="00E8588F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  <w:t xml:space="preserve"> 11.12.2025.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3" type="#_x0000_t202" style="width:254.25pt;height:128.25pt;margin-top:-0.05pt;margin-left:85.5pt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662A40" w:rsidRPr="002478D4" w:rsidP="00662A40" w14:paraId="66AD7EB1" w14:textId="77777777">
                    <w:pPr>
                      <w:spacing w:after="0" w:line="240" w:lineRule="auto"/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>Opština</w:t>
                    </w: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 xml:space="preserve"> Tuzi / </w:t>
                    </w: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>Komuna</w:t>
                    </w: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 xml:space="preserve"> e </w:t>
                    </w: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>Tuzit</w:t>
                    </w:r>
                  </w:p>
                  <w:p w:rsidR="00662A40" w:rsidRPr="002478D4" w:rsidP="00662A40" w14:paraId="28E24709" w14:textId="77777777">
                    <w:pPr>
                      <w:spacing w:after="0" w:line="240" w:lineRule="auto"/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 xml:space="preserve">D.O.O. </w:t>
                    </w: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>Komunalno</w:t>
                    </w: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 xml:space="preserve"> / </w:t>
                    </w: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>Komunale</w:t>
                    </w:r>
                    <w:r w:rsidRPr="002478D4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 xml:space="preserve"> SH.P.K.</w:t>
                    </w:r>
                  </w:p>
                  <w:p w:rsidR="00662A40" w:rsidRPr="002478D4" w:rsidP="00662A40" w14:paraId="0BCBEBFB" w14:textId="77777777">
                    <w:pPr>
                      <w:spacing w:after="0" w:line="240" w:lineRule="auto"/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</w:pPr>
                  </w:p>
                  <w:p w:rsidR="00662A40" w:rsidRPr="002478D4" w:rsidP="00662A40" w14:paraId="2928A924" w14:textId="2869904E">
                    <w:pPr>
                      <w:spacing w:after="0" w:line="276" w:lineRule="auto"/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>Br / Nr</w:t>
                    </w:r>
                    <w:r w:rsidR="00E8588F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 xml:space="preserve">   1749/25</w:t>
                    </w:r>
                  </w:p>
                  <w:p w:rsidR="00662A40" w:rsidRPr="002478D4" w:rsidP="00662A40" w14:paraId="17EDA352" w14:textId="77A3A448">
                    <w:pPr>
                      <w:spacing w:after="0" w:line="276" w:lineRule="auto"/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>Tuz / Tuzi</w:t>
                    </w:r>
                    <w:r w:rsidR="00E8588F">
                      <w:rPr>
                        <w:rFonts w:ascii="Calibri" w:eastAsia="Calibri" w:hAnsi="Calibri" w:cs="Times New Roman"/>
                        <w:sz w:val="20"/>
                        <w:szCs w:val="20"/>
                        <w:lang w:val="en-US" w:eastAsia="en-US" w:bidi="ar-SA"/>
                      </w:rPr>
                      <w:t xml:space="preserve"> 11.12.2025.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6A40412" wp14:editId="5D3CCA21">
          <wp:extent cx="835589" cy="1009650"/>
          <wp:effectExtent l="0" t="0" r="317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er memorandum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20" cy="101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91372"/>
    <w:multiLevelType w:val="hybridMultilevel"/>
    <w:tmpl w:val="15AE3A4A"/>
    <w:lvl w:ilvl="0" w:tplc="5C023FF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  <w:i w:val="0"/>
        <w:sz w:val="24"/>
        <w:u w:val="none"/>
      </w:rPr>
    </w:lvl>
    <w:lvl w:ilvl="1" w:tplc="7C8A46A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D06327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21C7E2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6CEF6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3059E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AA4489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64A7C2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D1225F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4A"/>
    <w:rsid w:val="000214FA"/>
    <w:rsid w:val="0004284F"/>
    <w:rsid w:val="00061497"/>
    <w:rsid w:val="00084D15"/>
    <w:rsid w:val="000863F8"/>
    <w:rsid w:val="00095483"/>
    <w:rsid w:val="000C6960"/>
    <w:rsid w:val="000C6EFF"/>
    <w:rsid w:val="000F2657"/>
    <w:rsid w:val="000F33C5"/>
    <w:rsid w:val="00102325"/>
    <w:rsid w:val="001568E4"/>
    <w:rsid w:val="00175D47"/>
    <w:rsid w:val="00184BCD"/>
    <w:rsid w:val="001D1268"/>
    <w:rsid w:val="001D1332"/>
    <w:rsid w:val="00215006"/>
    <w:rsid w:val="002478D4"/>
    <w:rsid w:val="002478F0"/>
    <w:rsid w:val="00255521"/>
    <w:rsid w:val="00307912"/>
    <w:rsid w:val="00343052"/>
    <w:rsid w:val="00355B67"/>
    <w:rsid w:val="00365EBA"/>
    <w:rsid w:val="0039169E"/>
    <w:rsid w:val="00395D65"/>
    <w:rsid w:val="003E5FDA"/>
    <w:rsid w:val="00425272"/>
    <w:rsid w:val="00450F34"/>
    <w:rsid w:val="004641B4"/>
    <w:rsid w:val="00472520"/>
    <w:rsid w:val="00491ABF"/>
    <w:rsid w:val="00493F1A"/>
    <w:rsid w:val="00496B9B"/>
    <w:rsid w:val="004B340C"/>
    <w:rsid w:val="004E6781"/>
    <w:rsid w:val="004F13C3"/>
    <w:rsid w:val="004F2113"/>
    <w:rsid w:val="004F46BB"/>
    <w:rsid w:val="005204C9"/>
    <w:rsid w:val="005562DC"/>
    <w:rsid w:val="00557515"/>
    <w:rsid w:val="0057628C"/>
    <w:rsid w:val="00581897"/>
    <w:rsid w:val="005861C2"/>
    <w:rsid w:val="00595D13"/>
    <w:rsid w:val="005A546C"/>
    <w:rsid w:val="005B0886"/>
    <w:rsid w:val="005B665C"/>
    <w:rsid w:val="005D144A"/>
    <w:rsid w:val="005D569C"/>
    <w:rsid w:val="00605C70"/>
    <w:rsid w:val="00662A40"/>
    <w:rsid w:val="00662A9F"/>
    <w:rsid w:val="0068744A"/>
    <w:rsid w:val="006A467D"/>
    <w:rsid w:val="006B288E"/>
    <w:rsid w:val="006B7B69"/>
    <w:rsid w:val="006D2115"/>
    <w:rsid w:val="006D60E5"/>
    <w:rsid w:val="006D621D"/>
    <w:rsid w:val="006F07E7"/>
    <w:rsid w:val="00744A68"/>
    <w:rsid w:val="00744C5D"/>
    <w:rsid w:val="00757B57"/>
    <w:rsid w:val="00761BB2"/>
    <w:rsid w:val="007621C2"/>
    <w:rsid w:val="007779A3"/>
    <w:rsid w:val="00786CF2"/>
    <w:rsid w:val="00815124"/>
    <w:rsid w:val="00817483"/>
    <w:rsid w:val="00830F86"/>
    <w:rsid w:val="00845BB6"/>
    <w:rsid w:val="00846ABF"/>
    <w:rsid w:val="00871A73"/>
    <w:rsid w:val="008A54B3"/>
    <w:rsid w:val="008B1640"/>
    <w:rsid w:val="008E2873"/>
    <w:rsid w:val="008E6469"/>
    <w:rsid w:val="009732C3"/>
    <w:rsid w:val="009946A4"/>
    <w:rsid w:val="009D056A"/>
    <w:rsid w:val="009E5D3B"/>
    <w:rsid w:val="009E702F"/>
    <w:rsid w:val="00A2630C"/>
    <w:rsid w:val="00A264FB"/>
    <w:rsid w:val="00A3414A"/>
    <w:rsid w:val="00A35B6C"/>
    <w:rsid w:val="00A64AFB"/>
    <w:rsid w:val="00A76F82"/>
    <w:rsid w:val="00A923C8"/>
    <w:rsid w:val="00AB0292"/>
    <w:rsid w:val="00AC2C79"/>
    <w:rsid w:val="00AC417A"/>
    <w:rsid w:val="00AD5932"/>
    <w:rsid w:val="00AD7265"/>
    <w:rsid w:val="00AF163B"/>
    <w:rsid w:val="00B00829"/>
    <w:rsid w:val="00B244BC"/>
    <w:rsid w:val="00B42AB0"/>
    <w:rsid w:val="00B52697"/>
    <w:rsid w:val="00B67A93"/>
    <w:rsid w:val="00B822CF"/>
    <w:rsid w:val="00BC7070"/>
    <w:rsid w:val="00BD12F1"/>
    <w:rsid w:val="00BD34E3"/>
    <w:rsid w:val="00BD647B"/>
    <w:rsid w:val="00C0783F"/>
    <w:rsid w:val="00C1070D"/>
    <w:rsid w:val="00C42067"/>
    <w:rsid w:val="00C50321"/>
    <w:rsid w:val="00C61F7F"/>
    <w:rsid w:val="00C645FF"/>
    <w:rsid w:val="00C75A13"/>
    <w:rsid w:val="00C91340"/>
    <w:rsid w:val="00CA18CC"/>
    <w:rsid w:val="00CD61C7"/>
    <w:rsid w:val="00D63723"/>
    <w:rsid w:val="00D65E63"/>
    <w:rsid w:val="00D821CB"/>
    <w:rsid w:val="00DB0D78"/>
    <w:rsid w:val="00DE6B6C"/>
    <w:rsid w:val="00E01E5B"/>
    <w:rsid w:val="00E07671"/>
    <w:rsid w:val="00E13A70"/>
    <w:rsid w:val="00E147BA"/>
    <w:rsid w:val="00E26590"/>
    <w:rsid w:val="00E44CAF"/>
    <w:rsid w:val="00E7441F"/>
    <w:rsid w:val="00E834F8"/>
    <w:rsid w:val="00E8588F"/>
    <w:rsid w:val="00EE79A3"/>
    <w:rsid w:val="00EF1510"/>
    <w:rsid w:val="00F11C26"/>
    <w:rsid w:val="00F34F74"/>
    <w:rsid w:val="00F40ACD"/>
    <w:rsid w:val="00F65FAF"/>
    <w:rsid w:val="00FA1403"/>
    <w:rsid w:val="00FA7DF0"/>
    <w:rsid w:val="00FE5A59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C74F"/>
  <w15:chartTrackingRefBased/>
  <w15:docId w15:val="{F52085A7-F904-4EA7-A9E4-5099F5DC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D72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C7070"/>
  </w:style>
  <w:style w:type="paragraph" w:styleId="ListParagraph">
    <w:name w:val="List Paragraph"/>
    <w:basedOn w:val="Normal"/>
    <w:uiPriority w:val="34"/>
    <w:qFormat/>
    <w:rsid w:val="00F11C2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74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9B8"/>
  </w:style>
  <w:style w:type="paragraph" w:styleId="Footer">
    <w:name w:val="footer"/>
    <w:basedOn w:val="Normal"/>
    <w:link w:val="FooterChar"/>
    <w:uiPriority w:val="99"/>
    <w:unhideWhenUsed/>
    <w:rsid w:val="00F74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9B8"/>
  </w:style>
  <w:style w:type="character" w:styleId="Hyperlink">
    <w:name w:val="Hyperlink"/>
    <w:basedOn w:val="DefaultParagraphFont"/>
    <w:uiPriority w:val="99"/>
    <w:unhideWhenUsed/>
    <w:rsid w:val="005C0E0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95D65"/>
    <w:pPr>
      <w:spacing w:after="0" w:line="240" w:lineRule="auto"/>
    </w:pPr>
    <w:rPr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9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munalno-tz.me" TargetMode="External"/><Relationship Id="rId1" Type="http://schemas.openxmlformats.org/officeDocument/2006/relationships/hyperlink" Target="http://www.komunalno-tz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munalno-tz.me" TargetMode="External"/><Relationship Id="rId1" Type="http://schemas.openxmlformats.org/officeDocument/2006/relationships/hyperlink" Target="http://www.komunalno-tz.m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munalno-tz.me" TargetMode="External"/><Relationship Id="rId1" Type="http://schemas.openxmlformats.org/officeDocument/2006/relationships/hyperlink" Target="http://www.komunalno-tz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Semina Dresaj</cp:lastModifiedBy>
  <cp:revision>2</cp:revision>
  <cp:lastPrinted>2022-03-15T13:34:00Z</cp:lastPrinted>
  <dcterms:created xsi:type="dcterms:W3CDTF">2025-12-23T12:05:00Z</dcterms:created>
  <dcterms:modified xsi:type="dcterms:W3CDTF">2025-12-23T12:05:00Z</dcterms:modified>
</cp:coreProperties>
</file>